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CC00" w14:textId="080FAC8A" w:rsidR="00863227" w:rsidRPr="009E3263" w:rsidRDefault="00863227">
      <w:pPr>
        <w:rPr>
          <w:color w:val="FF0000"/>
        </w:rPr>
      </w:pPr>
    </w:p>
    <w:p w14:paraId="5C5AF0A4" w14:textId="2964B731" w:rsidR="003A0E12" w:rsidRDefault="00484EE2">
      <w:r>
        <w:rPr>
          <w:noProof/>
        </w:rPr>
        <w:drawing>
          <wp:inline distT="0" distB="0" distL="0" distR="0" wp14:anchorId="40F27330" wp14:editId="03FA037E">
            <wp:extent cx="2404964" cy="79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232" cy="79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B58A0" w14:textId="77777777" w:rsidR="00484EE2" w:rsidRDefault="00484EE2">
      <w:pPr>
        <w:rPr>
          <w:b/>
          <w:bCs/>
        </w:rPr>
      </w:pPr>
    </w:p>
    <w:p w14:paraId="0185629C" w14:textId="65324343" w:rsidR="0061730F" w:rsidRPr="00773CFD" w:rsidRDefault="00F856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the report </w:t>
      </w:r>
      <w:r w:rsidR="0061730F">
        <w:rPr>
          <w:b/>
          <w:bCs/>
          <w:sz w:val="24"/>
          <w:szCs w:val="24"/>
        </w:rPr>
        <w:t>says</w:t>
      </w:r>
      <w:r w:rsidR="00F402DE">
        <w:rPr>
          <w:b/>
          <w:bCs/>
          <w:sz w:val="24"/>
          <w:szCs w:val="24"/>
        </w:rPr>
        <w:t xml:space="preserve">: </w:t>
      </w:r>
      <w:r w:rsidR="00DD651A" w:rsidRPr="00773CFD">
        <w:rPr>
          <w:b/>
          <w:bCs/>
          <w:sz w:val="24"/>
          <w:szCs w:val="24"/>
        </w:rPr>
        <w:t xml:space="preserve">Evaluation </w:t>
      </w:r>
      <w:r w:rsidR="006D5E7A" w:rsidRPr="00773CFD">
        <w:rPr>
          <w:b/>
          <w:bCs/>
          <w:sz w:val="24"/>
          <w:szCs w:val="24"/>
        </w:rPr>
        <w:t>of the T</w:t>
      </w:r>
      <w:r w:rsidR="006D5E7A" w:rsidRPr="00773CFD">
        <w:rPr>
          <w:b/>
          <w:bCs/>
          <w:sz w:val="24"/>
          <w:szCs w:val="24"/>
          <w:lang w:val="mi-NZ"/>
        </w:rPr>
        <w:t>ō</w:t>
      </w:r>
      <w:r w:rsidR="006D5E7A" w:rsidRPr="00773CFD">
        <w:rPr>
          <w:b/>
          <w:bCs/>
          <w:sz w:val="24"/>
          <w:szCs w:val="24"/>
        </w:rPr>
        <w:t>ku Oranga (Access and Choice) Programme</w:t>
      </w:r>
    </w:p>
    <w:p w14:paraId="0B484C44" w14:textId="28638928" w:rsidR="000E54E7" w:rsidRDefault="00945A2A">
      <w:pPr>
        <w:rPr>
          <w:i/>
          <w:iCs/>
        </w:rPr>
      </w:pPr>
      <w:r w:rsidRPr="00773CFD">
        <w:rPr>
          <w:i/>
          <w:iCs/>
        </w:rPr>
        <w:t>WellSouth commissioned</w:t>
      </w:r>
      <w:r w:rsidR="00F402DE">
        <w:rPr>
          <w:i/>
          <w:iCs/>
        </w:rPr>
        <w:t xml:space="preserve"> </w:t>
      </w:r>
      <w:r w:rsidRPr="00773CFD">
        <w:rPr>
          <w:i/>
          <w:iCs/>
        </w:rPr>
        <w:t xml:space="preserve">Synergia to </w:t>
      </w:r>
      <w:r w:rsidR="00634510">
        <w:rPr>
          <w:i/>
          <w:iCs/>
        </w:rPr>
        <w:t>conduct</w:t>
      </w:r>
      <w:r w:rsidR="00886F6B">
        <w:rPr>
          <w:i/>
          <w:iCs/>
        </w:rPr>
        <w:t xml:space="preserve"> an</w:t>
      </w:r>
      <w:r w:rsidR="00B71CCC">
        <w:rPr>
          <w:i/>
          <w:iCs/>
        </w:rPr>
        <w:t xml:space="preserve"> independent </w:t>
      </w:r>
      <w:r w:rsidR="00773CFD">
        <w:rPr>
          <w:i/>
          <w:iCs/>
        </w:rPr>
        <w:t>evaluat</w:t>
      </w:r>
      <w:r w:rsidR="00886F6B">
        <w:rPr>
          <w:i/>
          <w:iCs/>
        </w:rPr>
        <w:t>ion</w:t>
      </w:r>
      <w:r w:rsidR="00B71CCC">
        <w:rPr>
          <w:i/>
          <w:iCs/>
        </w:rPr>
        <w:t xml:space="preserve"> of</w:t>
      </w:r>
      <w:r w:rsidR="00773CFD">
        <w:rPr>
          <w:i/>
          <w:iCs/>
        </w:rPr>
        <w:t xml:space="preserve"> the </w:t>
      </w:r>
      <w:r w:rsidR="007E3DF7">
        <w:rPr>
          <w:i/>
          <w:iCs/>
        </w:rPr>
        <w:t>Tōku Oranga-Access and Choice</w:t>
      </w:r>
      <w:r w:rsidR="0061730F">
        <w:rPr>
          <w:i/>
          <w:iCs/>
        </w:rPr>
        <w:t xml:space="preserve"> programme</w:t>
      </w:r>
      <w:r w:rsidR="00B71CCC">
        <w:rPr>
          <w:i/>
          <w:iCs/>
        </w:rPr>
        <w:t>, e</w:t>
      </w:r>
      <w:r w:rsidR="0061730F">
        <w:rPr>
          <w:i/>
          <w:iCs/>
        </w:rPr>
        <w:t>valuat</w:t>
      </w:r>
      <w:r w:rsidR="00B71CCC">
        <w:rPr>
          <w:i/>
          <w:iCs/>
        </w:rPr>
        <w:t>ing</w:t>
      </w:r>
      <w:r w:rsidR="0061730F">
        <w:rPr>
          <w:i/>
          <w:iCs/>
        </w:rPr>
        <w:t xml:space="preserve"> the programme’s implementation in Southern </w:t>
      </w:r>
      <w:r w:rsidR="005E38DA">
        <w:rPr>
          <w:i/>
          <w:iCs/>
        </w:rPr>
        <w:t xml:space="preserve">so far with the </w:t>
      </w:r>
      <w:r w:rsidR="00634510">
        <w:rPr>
          <w:i/>
          <w:iCs/>
        </w:rPr>
        <w:t>a</w:t>
      </w:r>
      <w:r w:rsidR="005E38DA">
        <w:rPr>
          <w:i/>
          <w:iCs/>
        </w:rPr>
        <w:t xml:space="preserve">im of </w:t>
      </w:r>
      <w:r w:rsidR="006A6E68">
        <w:rPr>
          <w:i/>
          <w:iCs/>
        </w:rPr>
        <w:t>inform</w:t>
      </w:r>
      <w:r w:rsidR="005E38DA">
        <w:rPr>
          <w:i/>
          <w:iCs/>
        </w:rPr>
        <w:t>ing</w:t>
      </w:r>
      <w:r w:rsidR="006A6E68">
        <w:rPr>
          <w:i/>
          <w:iCs/>
        </w:rPr>
        <w:t xml:space="preserve"> the continued implementation of the programme at practices and providers in Otago and Southland.</w:t>
      </w:r>
    </w:p>
    <w:p w14:paraId="4D0601BD" w14:textId="24674273" w:rsidR="00852E91" w:rsidRDefault="00D62488" w:rsidP="00F836B8">
      <w:pPr>
        <w:rPr>
          <w:b/>
          <w:bCs/>
        </w:rPr>
      </w:pPr>
      <w:r w:rsidRPr="00932238">
        <w:rPr>
          <w:b/>
          <w:bCs/>
        </w:rPr>
        <w:t>A</w:t>
      </w:r>
      <w:r w:rsidR="00852E91">
        <w:rPr>
          <w:b/>
          <w:bCs/>
        </w:rPr>
        <w:t xml:space="preserve">mong </w:t>
      </w:r>
      <w:r w:rsidRPr="00932238">
        <w:rPr>
          <w:b/>
          <w:bCs/>
        </w:rPr>
        <w:t>Synergia’s findings</w:t>
      </w:r>
      <w:r w:rsidR="00852E91">
        <w:rPr>
          <w:b/>
          <w:bCs/>
        </w:rPr>
        <w:t>:</w:t>
      </w:r>
      <w:r w:rsidR="00932238" w:rsidRPr="00932238">
        <w:rPr>
          <w:b/>
          <w:bCs/>
        </w:rPr>
        <w:t xml:space="preserve"> </w:t>
      </w:r>
    </w:p>
    <w:p w14:paraId="2890C7DB" w14:textId="0521BB4C" w:rsidR="00F836B8" w:rsidRPr="00484EE2" w:rsidRDefault="00F836B8" w:rsidP="00484EE2">
      <w:pPr>
        <w:pStyle w:val="ListParagraph"/>
        <w:numPr>
          <w:ilvl w:val="0"/>
          <w:numId w:val="2"/>
        </w:numPr>
      </w:pPr>
      <w:r w:rsidRPr="00484EE2">
        <w:t>Tōku Oranga-Access and Choice</w:t>
      </w:r>
      <w:r w:rsidR="00852E91" w:rsidRPr="00484EE2">
        <w:t xml:space="preserve"> </w:t>
      </w:r>
      <w:r w:rsidR="00852E91" w:rsidRPr="00484EE2">
        <w:rPr>
          <w:b/>
          <w:bCs/>
        </w:rPr>
        <w:t>r</w:t>
      </w:r>
      <w:r w:rsidRPr="00484EE2">
        <w:rPr>
          <w:b/>
          <w:bCs/>
        </w:rPr>
        <w:t>esponds to a much broader range of biopsychosocial needs</w:t>
      </w:r>
      <w:r w:rsidRPr="00484EE2">
        <w:t xml:space="preserve"> than counselling.</w:t>
      </w:r>
      <w:r w:rsidR="009E3263" w:rsidRPr="00484EE2">
        <w:t xml:space="preserve"> This model has been designed to be available for people of all ages with any concern they may have; be it mental health, physical health, or social health with a particular focus on behaviour change strategies. </w:t>
      </w:r>
    </w:p>
    <w:p w14:paraId="554FE790" w14:textId="0E2ABB0A" w:rsidR="00F836B8" w:rsidRDefault="00F836B8" w:rsidP="00484EE2">
      <w:pPr>
        <w:pStyle w:val="ListParagraph"/>
        <w:numPr>
          <w:ilvl w:val="0"/>
          <w:numId w:val="2"/>
        </w:numPr>
      </w:pPr>
      <w:r>
        <w:t xml:space="preserve">Offers consumers </w:t>
      </w:r>
      <w:r w:rsidRPr="00484EE2">
        <w:rPr>
          <w:b/>
          <w:bCs/>
        </w:rPr>
        <w:t>fast access to effective support</w:t>
      </w:r>
      <w:r w:rsidR="00852E91" w:rsidRPr="00484EE2">
        <w:rPr>
          <w:b/>
          <w:bCs/>
        </w:rPr>
        <w:t>.</w:t>
      </w:r>
      <w:r>
        <w:t xml:space="preserve"> </w:t>
      </w:r>
    </w:p>
    <w:p w14:paraId="75735255" w14:textId="05188A80" w:rsidR="00F836B8" w:rsidRPr="00484EE2" w:rsidRDefault="00540CD2" w:rsidP="00484EE2">
      <w:pPr>
        <w:pStyle w:val="ListParagraph"/>
        <w:numPr>
          <w:ilvl w:val="0"/>
          <w:numId w:val="2"/>
        </w:numPr>
      </w:pPr>
      <w:r>
        <w:t xml:space="preserve">Has </w:t>
      </w:r>
      <w:r w:rsidR="00F836B8" w:rsidRPr="00484EE2">
        <w:rPr>
          <w:b/>
          <w:bCs/>
        </w:rPr>
        <w:t>meaningful and measurable benefits</w:t>
      </w:r>
      <w:r w:rsidR="00EE2BBE">
        <w:t>; t</w:t>
      </w:r>
      <w:r w:rsidR="00955DBD">
        <w:t xml:space="preserve">here’s </w:t>
      </w:r>
      <w:r w:rsidR="00F836B8" w:rsidRPr="00484EE2">
        <w:rPr>
          <w:b/>
          <w:bCs/>
        </w:rPr>
        <w:t xml:space="preserve">evidence of the programme’s </w:t>
      </w:r>
      <w:r w:rsidR="00F45D15" w:rsidRPr="00484EE2">
        <w:rPr>
          <w:b/>
          <w:bCs/>
        </w:rPr>
        <w:t>effectiveness.</w:t>
      </w:r>
      <w:r w:rsidR="00F836B8" w:rsidRPr="00484EE2">
        <w:rPr>
          <w:b/>
          <w:bCs/>
        </w:rPr>
        <w:t xml:space="preserve"> </w:t>
      </w:r>
      <w:r w:rsidR="009E3263" w:rsidRPr="00484EE2">
        <w:t>Each session is started with a questionnaire that aim</w:t>
      </w:r>
      <w:r w:rsidR="00484EE2" w:rsidRPr="00484EE2">
        <w:t>s</w:t>
      </w:r>
      <w:r w:rsidR="009E3263" w:rsidRPr="00484EE2">
        <w:t xml:space="preserve"> to understand the persons health related quality of life. When people return, it is repeated to track progress and celebrate wins- big or small.</w:t>
      </w:r>
      <w:r w:rsidR="009E3263" w:rsidRPr="00484EE2">
        <w:rPr>
          <w:b/>
          <w:bCs/>
        </w:rPr>
        <w:t xml:space="preserve"> </w:t>
      </w:r>
    </w:p>
    <w:p w14:paraId="72F00D80" w14:textId="7FB9322B" w:rsidR="00D62488" w:rsidRPr="00484EE2" w:rsidRDefault="00D62488" w:rsidP="00484EE2">
      <w:pPr>
        <w:pStyle w:val="ListParagraph"/>
        <w:numPr>
          <w:ilvl w:val="0"/>
          <w:numId w:val="2"/>
        </w:numPr>
      </w:pPr>
      <w:r>
        <w:t xml:space="preserve">Tōku Oranga-Access and Choice approaches are </w:t>
      </w:r>
      <w:r w:rsidRPr="00484EE2">
        <w:rPr>
          <w:b/>
          <w:bCs/>
        </w:rPr>
        <w:t>centred around goals and actions</w:t>
      </w:r>
      <w:r>
        <w:t>.</w:t>
      </w:r>
      <w:r w:rsidR="009E3263">
        <w:t xml:space="preserve"> </w:t>
      </w:r>
      <w:r w:rsidR="009E3263" w:rsidRPr="00484EE2">
        <w:t xml:space="preserve">The programme aims to be client centred with particular interest in a person’s strengths and values. </w:t>
      </w:r>
    </w:p>
    <w:p w14:paraId="5ECE7923" w14:textId="3D0A2B52" w:rsidR="00013DA2" w:rsidRDefault="00013DA2" w:rsidP="00484EE2">
      <w:pPr>
        <w:pStyle w:val="ListParagraph"/>
        <w:numPr>
          <w:ilvl w:val="0"/>
          <w:numId w:val="2"/>
        </w:numPr>
      </w:pPr>
      <w:r>
        <w:t xml:space="preserve">The approach is </w:t>
      </w:r>
      <w:r w:rsidRPr="00484EE2">
        <w:rPr>
          <w:b/>
          <w:bCs/>
        </w:rPr>
        <w:t>more flexible and practical</w:t>
      </w:r>
      <w:r>
        <w:t xml:space="preserve"> than counselling. </w:t>
      </w:r>
    </w:p>
    <w:p w14:paraId="481F0B07" w14:textId="2E93BC80" w:rsidR="00135B95" w:rsidRDefault="003A0E12" w:rsidP="00484EE2">
      <w:pPr>
        <w:pStyle w:val="ListParagraph"/>
        <w:numPr>
          <w:ilvl w:val="0"/>
          <w:numId w:val="2"/>
        </w:numPr>
      </w:pPr>
      <w:r w:rsidRPr="00484EE2">
        <w:rPr>
          <w:b/>
          <w:bCs/>
        </w:rPr>
        <w:t xml:space="preserve">Referrals to the Brief Intervention Service (BIS) </w:t>
      </w:r>
      <w:r w:rsidR="00FC3A71" w:rsidRPr="00484EE2">
        <w:rPr>
          <w:b/>
          <w:bCs/>
        </w:rPr>
        <w:t xml:space="preserve">– a brief counselling service – dropped </w:t>
      </w:r>
      <w:r w:rsidR="00B5682A" w:rsidRPr="00484EE2">
        <w:rPr>
          <w:b/>
          <w:bCs/>
        </w:rPr>
        <w:t xml:space="preserve">by </w:t>
      </w:r>
      <w:r w:rsidR="00B93C89" w:rsidRPr="00484EE2">
        <w:rPr>
          <w:b/>
          <w:bCs/>
        </w:rPr>
        <w:t xml:space="preserve">a statistically significant </w:t>
      </w:r>
      <w:r w:rsidR="00B5682A" w:rsidRPr="00484EE2">
        <w:rPr>
          <w:b/>
          <w:bCs/>
        </w:rPr>
        <w:t>39%</w:t>
      </w:r>
      <w:r w:rsidR="00B93C89">
        <w:t xml:space="preserve"> </w:t>
      </w:r>
      <w:r w:rsidR="00FC3A71">
        <w:t>in the 13 sampl</w:t>
      </w:r>
      <w:r w:rsidR="00874EB9">
        <w:t>e</w:t>
      </w:r>
      <w:r w:rsidR="00FC3A71">
        <w:t xml:space="preserve"> practice</w:t>
      </w:r>
      <w:r w:rsidR="00874EB9">
        <w:t>s</w:t>
      </w:r>
      <w:r w:rsidR="00F402DE">
        <w:t xml:space="preserve"> evaluated</w:t>
      </w:r>
      <w:r w:rsidR="005A4D37">
        <w:t>.</w:t>
      </w:r>
    </w:p>
    <w:p w14:paraId="7E78E85C" w14:textId="77777777" w:rsidR="00484EE2" w:rsidRDefault="00F45D15" w:rsidP="00484EE2">
      <w:pPr>
        <w:pStyle w:val="ListParagraph"/>
        <w:numPr>
          <w:ilvl w:val="0"/>
          <w:numId w:val="2"/>
        </w:numPr>
      </w:pPr>
      <w:r>
        <w:t>Referral</w:t>
      </w:r>
      <w:r w:rsidR="00926F39">
        <w:t xml:space="preserve"> rates to secondary mental health services </w:t>
      </w:r>
      <w:r w:rsidR="00744586">
        <w:t xml:space="preserve">showed a small (insignificant) reduction … which </w:t>
      </w:r>
      <w:r w:rsidR="00744586" w:rsidRPr="00484EE2">
        <w:rPr>
          <w:b/>
          <w:bCs/>
        </w:rPr>
        <w:t xml:space="preserve">may </w:t>
      </w:r>
      <w:r w:rsidR="00FA7ECF" w:rsidRPr="00484EE2">
        <w:rPr>
          <w:b/>
          <w:bCs/>
        </w:rPr>
        <w:t xml:space="preserve">indicate the programme is reaching the missing middle and not simply substituting </w:t>
      </w:r>
      <w:r w:rsidR="00B30380" w:rsidRPr="00484EE2">
        <w:rPr>
          <w:b/>
          <w:bCs/>
        </w:rPr>
        <w:t>primary care for secondary mental health support</w:t>
      </w:r>
      <w:r w:rsidR="00B30380">
        <w:t>.</w:t>
      </w:r>
    </w:p>
    <w:p w14:paraId="2D30D8E4" w14:textId="51ECA4BE" w:rsidR="006C3C7E" w:rsidRPr="00484EE2" w:rsidRDefault="002333C3" w:rsidP="00484EE2">
      <w:pPr>
        <w:pStyle w:val="ListParagraph"/>
        <w:numPr>
          <w:ilvl w:val="0"/>
          <w:numId w:val="2"/>
        </w:numPr>
      </w:pPr>
      <w:r>
        <w:t xml:space="preserve">Consumers </w:t>
      </w:r>
      <w:r w:rsidR="00B30380">
        <w:t xml:space="preserve">had </w:t>
      </w:r>
      <w:r w:rsidR="00B30380" w:rsidRPr="00484EE2">
        <w:rPr>
          <w:b/>
          <w:bCs/>
        </w:rPr>
        <w:t>high degre</w:t>
      </w:r>
      <w:r w:rsidRPr="00484EE2">
        <w:rPr>
          <w:b/>
          <w:bCs/>
        </w:rPr>
        <w:t>e</w:t>
      </w:r>
      <w:r w:rsidR="00B30380" w:rsidRPr="00484EE2">
        <w:rPr>
          <w:b/>
          <w:bCs/>
        </w:rPr>
        <w:t xml:space="preserve">s of activation </w:t>
      </w:r>
      <w:r w:rsidR="0042799C" w:rsidRPr="00484EE2">
        <w:rPr>
          <w:b/>
          <w:bCs/>
        </w:rPr>
        <w:t xml:space="preserve">and began the journey with an attitude of being willing to try </w:t>
      </w:r>
      <w:r w:rsidR="00F45D15" w:rsidRPr="00484EE2">
        <w:rPr>
          <w:b/>
          <w:bCs/>
        </w:rPr>
        <w:t>anything.</w:t>
      </w:r>
      <w:r w:rsidR="009E3263" w:rsidRPr="00484EE2">
        <w:rPr>
          <w:b/>
          <w:bCs/>
        </w:rPr>
        <w:t xml:space="preserve"> </w:t>
      </w:r>
    </w:p>
    <w:p w14:paraId="63F39830" w14:textId="35BA3DC9" w:rsidR="0042799C" w:rsidRPr="00484EE2" w:rsidRDefault="0042799C" w:rsidP="00484EE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Consumers have </w:t>
      </w:r>
      <w:r w:rsidRPr="00484EE2">
        <w:rPr>
          <w:b/>
          <w:bCs/>
        </w:rPr>
        <w:t xml:space="preserve">a sense of accountability </w:t>
      </w:r>
      <w:r w:rsidR="002333C3" w:rsidRPr="00484EE2">
        <w:rPr>
          <w:b/>
          <w:bCs/>
        </w:rPr>
        <w:t>towards their worker, which played a key role in activation.</w:t>
      </w:r>
    </w:p>
    <w:p w14:paraId="1C3AD312" w14:textId="303EB260" w:rsidR="00EE6EB2" w:rsidRDefault="006C7E1E" w:rsidP="00484EE2">
      <w:pPr>
        <w:pStyle w:val="ListParagraph"/>
        <w:numPr>
          <w:ilvl w:val="0"/>
          <w:numId w:val="2"/>
        </w:numPr>
      </w:pPr>
      <w:r>
        <w:t xml:space="preserve">The </w:t>
      </w:r>
      <w:r w:rsidR="0001320B">
        <w:t>achievements of this programme are to be celebrated</w:t>
      </w:r>
      <w:r w:rsidR="00EE2BBE">
        <w:t>.</w:t>
      </w:r>
      <w:r w:rsidR="0001320B">
        <w:t xml:space="preserve"> </w:t>
      </w:r>
      <w:r w:rsidR="001971B0">
        <w:t>The</w:t>
      </w:r>
      <w:r w:rsidR="00EE2BBE">
        <w:t xml:space="preserve"> </w:t>
      </w:r>
      <w:r w:rsidR="004F3ADD">
        <w:t xml:space="preserve">impact the </w:t>
      </w:r>
      <w:r w:rsidR="00EE2BBE">
        <w:t xml:space="preserve">programme </w:t>
      </w:r>
      <w:r w:rsidR="004F3ADD">
        <w:t xml:space="preserve">is having </w:t>
      </w:r>
      <w:r w:rsidR="001971B0">
        <w:t>on the lives of consumers is huge</w:t>
      </w:r>
      <w:r w:rsidR="00EE2BBE">
        <w:t xml:space="preserve">, </w:t>
      </w:r>
      <w:r w:rsidR="004F3ADD">
        <w:t xml:space="preserve">and </w:t>
      </w:r>
      <w:r w:rsidR="00EE2BBE">
        <w:t xml:space="preserve">one that cannot be communicated </w:t>
      </w:r>
      <w:r w:rsidR="004F3ADD">
        <w:t>by routinely generated programme data</w:t>
      </w:r>
      <w:r w:rsidR="001971B0">
        <w:t>.</w:t>
      </w:r>
    </w:p>
    <w:p w14:paraId="3F5851C3" w14:textId="1435D6D6" w:rsidR="00EE6EB2" w:rsidRPr="0090045B" w:rsidRDefault="00EE6EB2">
      <w:pPr>
        <w:rPr>
          <w:b/>
          <w:bCs/>
        </w:rPr>
      </w:pPr>
      <w:r w:rsidRPr="0090045B">
        <w:rPr>
          <w:b/>
          <w:bCs/>
        </w:rPr>
        <w:t>Fo</w:t>
      </w:r>
      <w:r w:rsidR="0082323A" w:rsidRPr="0090045B">
        <w:rPr>
          <w:b/>
          <w:bCs/>
        </w:rPr>
        <w:t>r M</w:t>
      </w:r>
      <w:r w:rsidR="0082323A" w:rsidRPr="0090045B">
        <w:rPr>
          <w:b/>
          <w:bCs/>
          <w:lang w:val="mi-NZ"/>
        </w:rPr>
        <w:t>ā</w:t>
      </w:r>
      <w:r w:rsidR="0082323A" w:rsidRPr="0090045B">
        <w:rPr>
          <w:b/>
          <w:bCs/>
        </w:rPr>
        <w:t>ori</w:t>
      </w:r>
    </w:p>
    <w:p w14:paraId="14444CEF" w14:textId="16615323" w:rsidR="00EE6EB2" w:rsidRDefault="00EE6EB2" w:rsidP="00484EE2">
      <w:pPr>
        <w:pStyle w:val="ListParagraph"/>
        <w:numPr>
          <w:ilvl w:val="0"/>
          <w:numId w:val="3"/>
        </w:numPr>
      </w:pPr>
      <w:r>
        <w:t>I</w:t>
      </w:r>
      <w:r w:rsidRPr="00484EE2">
        <w:rPr>
          <w:b/>
          <w:bCs/>
        </w:rPr>
        <w:t>mprovement in well-being was equitable.</w:t>
      </w:r>
      <w:r>
        <w:t xml:space="preserve"> And M</w:t>
      </w:r>
      <w:r w:rsidR="00300775">
        <w:t>ā</w:t>
      </w:r>
      <w:r>
        <w:t>ori do not have notably different patterns of use, role associations or helpfulness, compared to non-Māori</w:t>
      </w:r>
    </w:p>
    <w:p w14:paraId="12857756" w14:textId="045AFF31" w:rsidR="00EE6EB2" w:rsidRDefault="00EE6EB2" w:rsidP="00484EE2">
      <w:pPr>
        <w:pStyle w:val="ListParagraph"/>
        <w:numPr>
          <w:ilvl w:val="0"/>
          <w:numId w:val="3"/>
        </w:numPr>
      </w:pPr>
      <w:r>
        <w:t xml:space="preserve">85% of consumers were </w:t>
      </w:r>
      <w:r w:rsidR="00390EDA">
        <w:t xml:space="preserve">very </w:t>
      </w:r>
      <w:r>
        <w:t>confident</w:t>
      </w:r>
      <w:r w:rsidR="00390EDA">
        <w:t xml:space="preserve"> in carrying out their plan from their consultation</w:t>
      </w:r>
      <w:r w:rsidR="0082323A">
        <w:t>.</w:t>
      </w:r>
      <w:r w:rsidR="009E3263">
        <w:t xml:space="preserve"> </w:t>
      </w:r>
    </w:p>
    <w:p w14:paraId="41071B05" w14:textId="77777777" w:rsidR="00686D0A" w:rsidRDefault="00DB6416">
      <w:pPr>
        <w:rPr>
          <w:b/>
          <w:bCs/>
        </w:rPr>
      </w:pPr>
      <w:r w:rsidRPr="00143846">
        <w:rPr>
          <w:b/>
          <w:bCs/>
        </w:rPr>
        <w:t xml:space="preserve">Recommendations </w:t>
      </w:r>
      <w:r w:rsidR="00143846">
        <w:rPr>
          <w:b/>
          <w:bCs/>
        </w:rPr>
        <w:t>for fu</w:t>
      </w:r>
      <w:r w:rsidR="00686D0A">
        <w:rPr>
          <w:b/>
          <w:bCs/>
        </w:rPr>
        <w:t>tures improvements:</w:t>
      </w:r>
    </w:p>
    <w:p w14:paraId="34594254" w14:textId="0123447D" w:rsidR="00BB6C7F" w:rsidRPr="00484EE2" w:rsidRDefault="00DB6416" w:rsidP="00484EE2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 xml:space="preserve">Better </w:t>
      </w:r>
      <w:r w:rsidR="00BB6C7F">
        <w:t>promoti</w:t>
      </w:r>
      <w:r w:rsidR="00D66D45">
        <w:t>o</w:t>
      </w:r>
      <w:r w:rsidR="00BB6C7F">
        <w:t>n of the programme generally and within practices</w:t>
      </w:r>
      <w:r w:rsidR="00004B3E">
        <w:t>.</w:t>
      </w:r>
    </w:p>
    <w:p w14:paraId="11CDBCAC" w14:textId="27D59F50" w:rsidR="00CD33D2" w:rsidRDefault="00C67EDB" w:rsidP="00484EE2">
      <w:pPr>
        <w:pStyle w:val="ListParagraph"/>
        <w:numPr>
          <w:ilvl w:val="0"/>
          <w:numId w:val="1"/>
        </w:numPr>
      </w:pPr>
      <w:r>
        <w:t>A</w:t>
      </w:r>
      <w:r w:rsidR="009A17C3">
        <w:t xml:space="preserve">dditional qualitative </w:t>
      </w:r>
      <w:r>
        <w:t>enqu</w:t>
      </w:r>
      <w:r w:rsidR="00BF0C23">
        <w:t xml:space="preserve">iry using kaupapa Māori </w:t>
      </w:r>
      <w:r w:rsidR="003366E4">
        <w:t>paradigm</w:t>
      </w:r>
      <w:r w:rsidR="00BF0C23">
        <w:t xml:space="preserve"> </w:t>
      </w:r>
      <w:r w:rsidR="00582D05">
        <w:t>recommended</w:t>
      </w:r>
      <w:r w:rsidR="00BF0C23">
        <w:t xml:space="preserve">, </w:t>
      </w:r>
      <w:r w:rsidR="00CD33D2">
        <w:t>t</w:t>
      </w:r>
      <w:r w:rsidR="009A17C3">
        <w:t>o fully understand how, where and why T</w:t>
      </w:r>
      <w:r w:rsidR="009A3911">
        <w:t>ō</w:t>
      </w:r>
      <w:r w:rsidR="009A17C3">
        <w:t>ku O</w:t>
      </w:r>
      <w:r w:rsidR="009A3911">
        <w:t>r</w:t>
      </w:r>
      <w:r w:rsidR="009A17C3">
        <w:t>anga is or isn’t experience</w:t>
      </w:r>
      <w:r w:rsidR="009A3911">
        <w:t>d</w:t>
      </w:r>
      <w:r w:rsidR="009A17C3">
        <w:t xml:space="preserve"> as equitabl</w:t>
      </w:r>
      <w:r w:rsidR="009A3911">
        <w:t>e</w:t>
      </w:r>
      <w:r w:rsidR="009A17C3">
        <w:t xml:space="preserve"> by Māori</w:t>
      </w:r>
      <w:r w:rsidR="00CD33D2">
        <w:t>.</w:t>
      </w:r>
    </w:p>
    <w:p w14:paraId="728B0059" w14:textId="2A0EF79E" w:rsidR="009A17C3" w:rsidRDefault="00CD33D2" w:rsidP="00484EE2">
      <w:pPr>
        <w:pStyle w:val="ListParagraph"/>
        <w:numPr>
          <w:ilvl w:val="0"/>
          <w:numId w:val="1"/>
        </w:numPr>
      </w:pPr>
      <w:r>
        <w:t xml:space="preserve">Explore further </w:t>
      </w:r>
      <w:r w:rsidR="000D35B4">
        <w:t xml:space="preserve">the </w:t>
      </w:r>
      <w:r w:rsidR="0009329B">
        <w:t>predominance</w:t>
      </w:r>
      <w:r w:rsidR="000D35B4">
        <w:t xml:space="preserve"> of single consults. Indicator of </w:t>
      </w:r>
      <w:r w:rsidR="003E3EBB">
        <w:t>poor fit or immediate, effective support?</w:t>
      </w:r>
    </w:p>
    <w:p w14:paraId="0F5F9603" w14:textId="01CE8A95" w:rsidR="00DB6416" w:rsidRDefault="00115140" w:rsidP="00484EE2">
      <w:pPr>
        <w:pStyle w:val="ListParagraph"/>
        <w:numPr>
          <w:ilvl w:val="0"/>
          <w:numId w:val="1"/>
        </w:numPr>
      </w:pPr>
      <w:r>
        <w:t>Aim to i</w:t>
      </w:r>
      <w:r w:rsidR="00BA418F">
        <w:t>mprove</w:t>
      </w:r>
      <w:r>
        <w:t xml:space="preserve"> and expand</w:t>
      </w:r>
      <w:r w:rsidR="00BA418F">
        <w:t xml:space="preserve"> introduction</w:t>
      </w:r>
      <w:r w:rsidR="00037862">
        <w:t>s</w:t>
      </w:r>
      <w:r w:rsidR="00BA418F">
        <w:t xml:space="preserve"> </w:t>
      </w:r>
      <w:r w:rsidR="00071ED9">
        <w:t>ensur</w:t>
      </w:r>
      <w:r w:rsidR="00037862">
        <w:t>ing</w:t>
      </w:r>
      <w:r w:rsidR="00071ED9">
        <w:t xml:space="preserve"> </w:t>
      </w:r>
      <w:r w:rsidR="00BA418F">
        <w:t>consumers</w:t>
      </w:r>
      <w:r w:rsidR="00037862">
        <w:t>/</w:t>
      </w:r>
      <w:r w:rsidR="00BA418F">
        <w:t xml:space="preserve">patients are </w:t>
      </w:r>
      <w:r w:rsidR="00037862">
        <w:t>introduced to the right role for their needs</w:t>
      </w:r>
      <w:r w:rsidR="003E3EBB">
        <w:t xml:space="preserve"> – rather than </w:t>
      </w:r>
      <w:r w:rsidR="005B20FD">
        <w:t>mostly the initial introduction to the HIPs (Health Improvement Practitioners).</w:t>
      </w:r>
    </w:p>
    <w:p w14:paraId="2C742F73" w14:textId="2CF8800C" w:rsidR="00D06023" w:rsidRDefault="00D06023"/>
    <w:sectPr w:rsidR="00D06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6F0C"/>
    <w:multiLevelType w:val="hybridMultilevel"/>
    <w:tmpl w:val="E0466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4065"/>
    <w:multiLevelType w:val="hybridMultilevel"/>
    <w:tmpl w:val="60062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2684"/>
    <w:multiLevelType w:val="hybridMultilevel"/>
    <w:tmpl w:val="B9B60F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157659">
    <w:abstractNumId w:val="0"/>
  </w:num>
  <w:num w:numId="2" w16cid:durableId="1272859433">
    <w:abstractNumId w:val="1"/>
  </w:num>
  <w:num w:numId="3" w16cid:durableId="1625652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12"/>
    <w:rsid w:val="00004B3E"/>
    <w:rsid w:val="0001320B"/>
    <w:rsid w:val="00013DA2"/>
    <w:rsid w:val="00037862"/>
    <w:rsid w:val="00065D0D"/>
    <w:rsid w:val="00071ED9"/>
    <w:rsid w:val="00074F74"/>
    <w:rsid w:val="0009329B"/>
    <w:rsid w:val="000D35B4"/>
    <w:rsid w:val="000E54E7"/>
    <w:rsid w:val="00115140"/>
    <w:rsid w:val="0012549A"/>
    <w:rsid w:val="00135B95"/>
    <w:rsid w:val="00143846"/>
    <w:rsid w:val="001601FB"/>
    <w:rsid w:val="001971B0"/>
    <w:rsid w:val="001A1695"/>
    <w:rsid w:val="002333C3"/>
    <w:rsid w:val="00242F18"/>
    <w:rsid w:val="002A0A2F"/>
    <w:rsid w:val="00300775"/>
    <w:rsid w:val="003175CF"/>
    <w:rsid w:val="003366E4"/>
    <w:rsid w:val="003501C6"/>
    <w:rsid w:val="00360580"/>
    <w:rsid w:val="00390EDA"/>
    <w:rsid w:val="003A0E12"/>
    <w:rsid w:val="003E3EBB"/>
    <w:rsid w:val="003F5060"/>
    <w:rsid w:val="0042799C"/>
    <w:rsid w:val="004521A2"/>
    <w:rsid w:val="00484EE2"/>
    <w:rsid w:val="004950E9"/>
    <w:rsid w:val="004C4643"/>
    <w:rsid w:val="004D366D"/>
    <w:rsid w:val="004E7447"/>
    <w:rsid w:val="004F3ADD"/>
    <w:rsid w:val="00540CD2"/>
    <w:rsid w:val="00582D05"/>
    <w:rsid w:val="00596175"/>
    <w:rsid w:val="005A4D37"/>
    <w:rsid w:val="005B20FD"/>
    <w:rsid w:val="005E38DA"/>
    <w:rsid w:val="0061730F"/>
    <w:rsid w:val="0062135E"/>
    <w:rsid w:val="00634510"/>
    <w:rsid w:val="00686D0A"/>
    <w:rsid w:val="006A6E68"/>
    <w:rsid w:val="006C3C7E"/>
    <w:rsid w:val="006C713A"/>
    <w:rsid w:val="006C7E1E"/>
    <w:rsid w:val="006D14FA"/>
    <w:rsid w:val="006D5E7A"/>
    <w:rsid w:val="00744586"/>
    <w:rsid w:val="00746A2B"/>
    <w:rsid w:val="007537B4"/>
    <w:rsid w:val="00763B49"/>
    <w:rsid w:val="00773CFD"/>
    <w:rsid w:val="007E3DF7"/>
    <w:rsid w:val="0082323A"/>
    <w:rsid w:val="00844041"/>
    <w:rsid w:val="00852E91"/>
    <w:rsid w:val="00863227"/>
    <w:rsid w:val="00874EB9"/>
    <w:rsid w:val="00886F6B"/>
    <w:rsid w:val="0090045B"/>
    <w:rsid w:val="0091092F"/>
    <w:rsid w:val="00926F39"/>
    <w:rsid w:val="00932238"/>
    <w:rsid w:val="00945A2A"/>
    <w:rsid w:val="00955DBD"/>
    <w:rsid w:val="0097769A"/>
    <w:rsid w:val="009A17C3"/>
    <w:rsid w:val="009A3911"/>
    <w:rsid w:val="009E3263"/>
    <w:rsid w:val="00A44CF6"/>
    <w:rsid w:val="00AA4DD9"/>
    <w:rsid w:val="00AE5640"/>
    <w:rsid w:val="00B30380"/>
    <w:rsid w:val="00B5682A"/>
    <w:rsid w:val="00B71CCC"/>
    <w:rsid w:val="00B93C89"/>
    <w:rsid w:val="00BA418F"/>
    <w:rsid w:val="00BB354B"/>
    <w:rsid w:val="00BB6C7F"/>
    <w:rsid w:val="00BC2F23"/>
    <w:rsid w:val="00BF0C23"/>
    <w:rsid w:val="00C35288"/>
    <w:rsid w:val="00C551BA"/>
    <w:rsid w:val="00C6272D"/>
    <w:rsid w:val="00C67EDB"/>
    <w:rsid w:val="00C84B4D"/>
    <w:rsid w:val="00C9483E"/>
    <w:rsid w:val="00CD33D2"/>
    <w:rsid w:val="00D06023"/>
    <w:rsid w:val="00D54693"/>
    <w:rsid w:val="00D62488"/>
    <w:rsid w:val="00D66D45"/>
    <w:rsid w:val="00D91C38"/>
    <w:rsid w:val="00D974AA"/>
    <w:rsid w:val="00DB6416"/>
    <w:rsid w:val="00DD651A"/>
    <w:rsid w:val="00E62CA9"/>
    <w:rsid w:val="00EA5664"/>
    <w:rsid w:val="00EC5A44"/>
    <w:rsid w:val="00EE2BBE"/>
    <w:rsid w:val="00EE4562"/>
    <w:rsid w:val="00EE6EB2"/>
    <w:rsid w:val="00F402DE"/>
    <w:rsid w:val="00F45D15"/>
    <w:rsid w:val="00F836B8"/>
    <w:rsid w:val="00F85680"/>
    <w:rsid w:val="00FA7ECF"/>
    <w:rsid w:val="00FC3A71"/>
    <w:rsid w:val="00FC6BB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3248"/>
  <w15:chartTrackingRefBased/>
  <w15:docId w15:val="{0B9E5A4F-2FD8-42DC-AFFD-18035864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86F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Finn</dc:creator>
  <cp:keywords/>
  <dc:description/>
  <cp:lastModifiedBy>Moira Finn</cp:lastModifiedBy>
  <cp:revision>3</cp:revision>
  <dcterms:created xsi:type="dcterms:W3CDTF">2023-05-01T18:47:00Z</dcterms:created>
  <dcterms:modified xsi:type="dcterms:W3CDTF">2023-05-01T18:52:00Z</dcterms:modified>
</cp:coreProperties>
</file>