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883E" w14:textId="30350916" w:rsidR="00E819DA" w:rsidRDefault="001F2BE2" w:rsidP="00E819DA">
      <w:pPr>
        <w:pStyle w:val="Title"/>
      </w:pPr>
      <w:r w:rsidRPr="00E819DA">
        <w:t xml:space="preserve">Thalamus Type 2 D Audit </w:t>
      </w:r>
    </w:p>
    <w:p w14:paraId="4B259CC0" w14:textId="2746794F" w:rsidR="00324ACB" w:rsidRPr="00E819DA" w:rsidRDefault="001F2BE2" w:rsidP="00E819DA">
      <w:pPr>
        <w:pStyle w:val="Title"/>
      </w:pPr>
      <w:r w:rsidRPr="00E819DA">
        <w:t>2. EOI Template</w:t>
      </w:r>
    </w:p>
    <w:p w14:paraId="7CFB4332" w14:textId="77777777" w:rsidR="00324ACB" w:rsidRDefault="001F2BE2">
      <w:pPr>
        <w:pStyle w:val="Heading1"/>
      </w:pPr>
      <w:r>
        <w:rPr>
          <w:rFonts w:ascii="Aptos" w:eastAsia="Aptos" w:hAnsi="Aptos" w:cs="Aptos"/>
        </w:rPr>
        <w:t>Thalamus Type 2 Diabetes Audit Package</w:t>
      </w:r>
    </w:p>
    <w:p w14:paraId="4E4DC003" w14:textId="77777777" w:rsidR="00324ACB" w:rsidRDefault="001F2BE2">
      <w:pPr>
        <w:pStyle w:val="Heading2"/>
      </w:pPr>
      <w:r>
        <w:rPr>
          <w:rFonts w:ascii="Aptos" w:eastAsia="Aptos" w:hAnsi="Aptos" w:cs="Aptos"/>
        </w:rPr>
        <w:t>RNZCGP Cornerstone CQI — Expression of Interest (EOI) Template</w:t>
      </w:r>
    </w:p>
    <w:p w14:paraId="17CC0DD5" w14:textId="77777777" w:rsidR="00324ACB" w:rsidRDefault="001F2BE2">
      <w:pPr>
        <w:pStyle w:val="Heading3"/>
      </w:pPr>
      <w:r>
        <w:rPr>
          <w:rFonts w:ascii="Aptos" w:eastAsia="Aptos" w:hAnsi="Aptos" w:cs="Aptos"/>
        </w:rPr>
        <w:t>WellSouth Primary Health Network</w:t>
      </w:r>
    </w:p>
    <w:p w14:paraId="0A3B5696" w14:textId="77777777" w:rsidR="00324ACB" w:rsidRDefault="001F2BE2">
      <w:r>
        <w:t>──────────────────────────────────────────────────</w:t>
      </w:r>
    </w:p>
    <w:p w14:paraId="2175606E" w14:textId="77777777" w:rsidR="00324ACB" w:rsidRDefault="001F2BE2">
      <w:r>
        <w:t>Once the practice has decided which mini audit(s) to focus on, an Expression of Interest (EOI) should be submitted to the RNZCGP for Cornerstone CQI approval (where required for the practice's Cornerstone cycle).</w:t>
      </w:r>
    </w:p>
    <w:p w14:paraId="2F012EAF" w14:textId="77777777" w:rsidR="00324ACB" w:rsidRDefault="001F2BE2">
      <w:r>
        <w:t>This audit package has been designed to align with Cornerstone CQI expectations. Practices should adapt the suggested wording below to reflect the specific mini audit(s) they are completing, their local context and priorities, and the equity issues identified or anticipated.</w:t>
      </w:r>
    </w:p>
    <w:p w14:paraId="5B68B76E" w14:textId="77777777" w:rsidR="00324ACB" w:rsidRDefault="001F2BE2">
      <w:r>
        <w:t>──────────────────────────────────────────────────</w:t>
      </w:r>
    </w:p>
    <w:p w14:paraId="5B51D837" w14:textId="77777777" w:rsidR="00324ACB" w:rsidRDefault="001F2BE2">
      <w:pPr>
        <w:pStyle w:val="Heading2"/>
      </w:pPr>
      <w:r>
        <w:rPr>
          <w:rFonts w:ascii="Aptos" w:eastAsia="Aptos" w:hAnsi="Aptos" w:cs="Aptos"/>
        </w:rPr>
        <w:t>One-Page EOI Template (Aligned to RNZCGP Headings)</w:t>
      </w:r>
    </w:p>
    <w:p w14:paraId="6DE0AD57" w14:textId="77777777" w:rsidR="00324ACB" w:rsidRDefault="001F2BE2" w:rsidP="00E819DA">
      <w:pPr>
        <w:pStyle w:val="Heading2"/>
      </w:pPr>
      <w:r>
        <w:t>1. Audit / CQI Project Title</w:t>
      </w:r>
    </w:p>
    <w:p w14:paraId="5F66CA01" w14:textId="77777777" w:rsidR="00324ACB" w:rsidRDefault="001F2BE2">
      <w:r>
        <w:t>Improving Type 2 Diabetes Care and Equity using Thalamus</w:t>
      </w:r>
    </w:p>
    <w:p w14:paraId="05607BAF" w14:textId="77777777" w:rsidR="00324ACB" w:rsidRDefault="001F2BE2">
      <w:r>
        <w:t>──────────────────────────────────────────────────</w:t>
      </w:r>
    </w:p>
    <w:p w14:paraId="61758A97" w14:textId="77777777" w:rsidR="00324ACB" w:rsidRDefault="001F2BE2" w:rsidP="00E819DA">
      <w:pPr>
        <w:pStyle w:val="Heading2"/>
      </w:pPr>
      <w:r>
        <w:t>2. Aim of the Project</w:t>
      </w:r>
    </w:p>
    <w:p w14:paraId="7552AE86" w14:textId="77777777" w:rsidR="00324ACB" w:rsidRDefault="001F2BE2">
      <w:r>
        <w:t>Suggested wording (adapt as needed):</w:t>
      </w:r>
    </w:p>
    <w:p w14:paraId="7FFE4B8E" w14:textId="77777777" w:rsidR="00324ACB" w:rsidRDefault="001F2BE2">
      <w:r>
        <w:t>"The aim of this project is to improve the quality and equity of Type 2 diabetes care within our practice by auditing key clinical indicators using Thalamus and addressing identified gaps, with a focus on priority populations including Māori, Pasifika, Indo-Asian, people under 60, people under 25, those with severe mental illness, and patients in NZDep quintile 5."</w:t>
      </w:r>
    </w:p>
    <w:p w14:paraId="59A5709C" w14:textId="77777777" w:rsidR="00324ACB" w:rsidRDefault="001F2BE2">
      <w:r>
        <w:t>Practices may add specificity, for example:</w:t>
      </w:r>
    </w:p>
    <w:p w14:paraId="3ADDEB69" w14:textId="77777777" w:rsidR="00324ACB" w:rsidRDefault="001F2BE2">
      <w:pPr>
        <w:pStyle w:val="ListBullet"/>
      </w:pPr>
      <w:r>
        <w:t>"...with a focus on identifying patients who now meet the revised diagnostic criteria (HbA1c &gt;= 48) and ensuring timely classification and review."</w:t>
      </w:r>
    </w:p>
    <w:p w14:paraId="6E9CF3B5" w14:textId="77777777" w:rsidR="00324ACB" w:rsidRDefault="001F2BE2">
      <w:pPr>
        <w:pStyle w:val="ListBullet"/>
      </w:pPr>
      <w:r>
        <w:lastRenderedPageBreak/>
        <w:t>"...with a focus on improving Diabetes Annual Review completion and key monitoring components."</w:t>
      </w:r>
    </w:p>
    <w:p w14:paraId="163E5B6C" w14:textId="77777777" w:rsidR="00324ACB" w:rsidRDefault="001F2BE2">
      <w:pPr>
        <w:pStyle w:val="ListBullet"/>
      </w:pPr>
      <w:r>
        <w:t>"...with a focus on identifying patients eligible for funded newer diabetes therapies (empagliflozin, dulaglutide, liraglutide)."</w:t>
      </w:r>
    </w:p>
    <w:p w14:paraId="7145EAAA" w14:textId="77777777" w:rsidR="00324ACB" w:rsidRDefault="001F2BE2">
      <w:r>
        <w:t>──────────────────────────────────────────────────</w:t>
      </w:r>
    </w:p>
    <w:p w14:paraId="224870F3" w14:textId="77777777" w:rsidR="00324ACB" w:rsidRDefault="001F2BE2" w:rsidP="00E819DA">
      <w:pPr>
        <w:pStyle w:val="Heading2"/>
      </w:pPr>
      <w:r>
        <w:t>3. Why This Topic Was Chosen / Baseline Situation</w:t>
      </w:r>
    </w:p>
    <w:p w14:paraId="5021D10D" w14:textId="77777777" w:rsidR="00324ACB" w:rsidRDefault="001F2BE2">
      <w:r>
        <w:t>Suggested wording:</w:t>
      </w:r>
    </w:p>
    <w:p w14:paraId="3C5DB118" w14:textId="77777777" w:rsidR="00324ACB" w:rsidRDefault="001F2BE2">
      <w:r>
        <w:t>"Type 2 diabetes is a significant health priority for our practice population. From 1 July 2026, the diagnostic threshold for diabetes has been lowered from HbA1c &gt;= 50 to &gt;= 48 mmol/mol, aligning NZ with WHO and international criteria. This change means additional patients in our practice now meet the diagnostic criteria. Review of our Thalamus data shows [insert focus area — e.g. variation in glycaemic control / gaps in DAR completion / medication prescribing gaps]. There is evidence of inequities in diabetes outcomes and/or monitoring for priority populations compared with the total practice population. This project was chosen to address these gaps."</w:t>
      </w:r>
    </w:p>
    <w:p w14:paraId="715FC998" w14:textId="77777777" w:rsidR="00324ACB" w:rsidRDefault="001F2BE2">
      <w:r>
        <w:t>Practices may include baseline figures once available, but this is not required at EOI stage.</w:t>
      </w:r>
    </w:p>
    <w:p w14:paraId="02C5D14C" w14:textId="77777777" w:rsidR="00324ACB" w:rsidRDefault="001F2BE2">
      <w:r>
        <w:t>──────────────────────────────────────────────────</w:t>
      </w:r>
    </w:p>
    <w:p w14:paraId="79FAF47F" w14:textId="77777777" w:rsidR="00324ACB" w:rsidRDefault="001F2BE2" w:rsidP="00E819DA">
      <w:pPr>
        <w:pStyle w:val="Heading2"/>
      </w:pPr>
      <w:r>
        <w:t>4. What the Practice Plans to Do</w:t>
      </w:r>
    </w:p>
    <w:p w14:paraId="2B82AC91" w14:textId="77777777" w:rsidR="00324ACB" w:rsidRDefault="001F2BE2">
      <w:r>
        <w:t>Suggested wording (select and adapt):</w:t>
      </w:r>
    </w:p>
    <w:p w14:paraId="4F230DF7" w14:textId="77777777" w:rsidR="00324ACB" w:rsidRDefault="001F2BE2">
      <w:r>
        <w:t>"The practice will use Thalamus to [select applicable]:</w:t>
      </w:r>
    </w:p>
    <w:p w14:paraId="0EDBAE06" w14:textId="77777777" w:rsidR="00324ACB" w:rsidRDefault="001F2BE2">
      <w:pPr>
        <w:pStyle w:val="ListBullet"/>
      </w:pPr>
      <w:r>
        <w:t>Identify patients newly meeting the revised diagnostic criteria (HbA1c &gt;= 48 mmol/mol) and ensure timely classification and review</w:t>
      </w:r>
    </w:p>
    <w:p w14:paraId="1CAFE83C" w14:textId="77777777" w:rsidR="00324ACB" w:rsidRDefault="001F2BE2">
      <w:pPr>
        <w:pStyle w:val="ListBullet"/>
      </w:pPr>
      <w:r>
        <w:t>Assess Diabetes Annual Review completion and key monitoring components</w:t>
      </w:r>
    </w:p>
    <w:p w14:paraId="78793D0D" w14:textId="77777777" w:rsidR="001F2BE2" w:rsidRDefault="001F2BE2" w:rsidP="001F2BE2">
      <w:pPr>
        <w:pStyle w:val="ListBullet"/>
      </w:pPr>
      <w:r>
        <w:t>Identify patients eligible for funded newer therapies (empagliflozin, dulaglutide, liraglutide)</w:t>
      </w:r>
    </w:p>
    <w:p w14:paraId="28BD4BEB" w14:textId="4AAD6144" w:rsidR="00324ACB" w:rsidRDefault="001F2BE2" w:rsidP="001F2BE2">
      <w:pPr>
        <w:pStyle w:val="ListBullet"/>
      </w:pPr>
      <w:r>
        <w:t>Results will be reviewed through an equity lens, with priority given to Māori, Pasifika, Indo-Asian, under-60s, under-25s, SEMI, and NZDep Q5 patients. Patient-level lists will be used to support recall, review, and targeted follow-up."</w:t>
      </w:r>
    </w:p>
    <w:p w14:paraId="01164C65" w14:textId="77777777" w:rsidR="00324ACB" w:rsidRDefault="001F2BE2">
      <w:r>
        <w:t>──────────────────────────────────────────────────</w:t>
      </w:r>
    </w:p>
    <w:p w14:paraId="4DD4FB8D" w14:textId="77777777" w:rsidR="00E819DA" w:rsidRDefault="00E819DA"/>
    <w:p w14:paraId="23285758" w14:textId="77777777" w:rsidR="00E819DA" w:rsidRDefault="00E819DA"/>
    <w:p w14:paraId="1AC20330" w14:textId="77777777" w:rsidR="00E819DA" w:rsidRDefault="00E819DA"/>
    <w:p w14:paraId="4F7D5FE2" w14:textId="77777777" w:rsidR="00324ACB" w:rsidRDefault="001F2BE2" w:rsidP="00E819DA">
      <w:pPr>
        <w:pStyle w:val="Heading2"/>
      </w:pPr>
      <w:r>
        <w:lastRenderedPageBreak/>
        <w:t>5. Quality Improvement Methodology</w:t>
      </w:r>
    </w:p>
    <w:p w14:paraId="17D44CDA" w14:textId="77777777" w:rsidR="00324ACB" w:rsidRDefault="001F2BE2">
      <w:r>
        <w:t>Suggested wording:</w:t>
      </w:r>
    </w:p>
    <w:p w14:paraId="46950DC7" w14:textId="77777777" w:rsidR="00324ACB" w:rsidRDefault="001F2BE2">
      <w:r>
        <w:t>"The practice will use a Plan-Do-Study-Act (PDSA) methodology."</w:t>
      </w:r>
    </w:p>
    <w:p w14:paraId="5F3E692D" w14:textId="77777777" w:rsidR="00324ACB" w:rsidRDefault="001F2BE2">
      <w:pPr>
        <w:pStyle w:val="ListBullet"/>
      </w:pPr>
      <w:r>
        <w:rPr>
          <w:b/>
        </w:rPr>
        <w:t>Plan:</w:t>
      </w:r>
      <w:r>
        <w:t xml:space="preserve"> Run baseline audit using Thalamus and identify gaps and inequities, including patients newly meeting diagnostic criteria.</w:t>
      </w:r>
    </w:p>
    <w:p w14:paraId="7855D409" w14:textId="77777777" w:rsidR="00324ACB" w:rsidRDefault="001F2BE2">
      <w:pPr>
        <w:pStyle w:val="ListBullet"/>
      </w:pPr>
      <w:r>
        <w:rPr>
          <w:b/>
        </w:rPr>
        <w:t>Do:</w:t>
      </w:r>
      <w:r>
        <w:t xml:space="preserve"> Implement targeted recall, review, classification, and treatment optimisation actions.</w:t>
      </w:r>
    </w:p>
    <w:p w14:paraId="0FB464AB" w14:textId="77777777" w:rsidR="00324ACB" w:rsidRDefault="001F2BE2">
      <w:pPr>
        <w:pStyle w:val="ListBullet"/>
      </w:pPr>
      <w:r>
        <w:rPr>
          <w:b/>
        </w:rPr>
        <w:t>Study:</w:t>
      </w:r>
      <w:r>
        <w:t xml:space="preserve"> Re-run the audit to assess changes in outcomes and equity gaps.</w:t>
      </w:r>
    </w:p>
    <w:p w14:paraId="1686B04B" w14:textId="77777777" w:rsidR="00324ACB" w:rsidRDefault="001F2BE2">
      <w:pPr>
        <w:pStyle w:val="ListBullet"/>
      </w:pPr>
      <w:r>
        <w:rPr>
          <w:b/>
        </w:rPr>
        <w:t>Act:</w:t>
      </w:r>
      <w:r>
        <w:t xml:space="preserve"> Refine processes and plan further improvement cycles.</w:t>
      </w:r>
    </w:p>
    <w:p w14:paraId="4825DB40" w14:textId="77777777" w:rsidR="00324ACB" w:rsidRDefault="001F2BE2">
      <w:r>
        <w:t>──────────────────────────────────────────────────</w:t>
      </w:r>
    </w:p>
    <w:p w14:paraId="6F591451" w14:textId="77777777" w:rsidR="00324ACB" w:rsidRDefault="001F2BE2" w:rsidP="00E819DA">
      <w:pPr>
        <w:pStyle w:val="Heading2"/>
      </w:pPr>
      <w:r>
        <w:t>6. Data and Evidence Sources</w:t>
      </w:r>
    </w:p>
    <w:p w14:paraId="476D611C" w14:textId="77777777" w:rsidR="00324ACB" w:rsidRDefault="001F2BE2">
      <w:r>
        <w:t>Suggested wording:</w:t>
      </w:r>
    </w:p>
    <w:p w14:paraId="4A334869" w14:textId="77777777" w:rsidR="00324ACB" w:rsidRDefault="001F2BE2">
      <w:r>
        <w:t>"Data will be sourced from the practice PMS and analysed using Thalamus, which provides practice-level dashboards and patient-level lists for Type 2 diabetes indicators, monitoring, and medication eligibility."</w:t>
      </w:r>
    </w:p>
    <w:p w14:paraId="2C6DCACC" w14:textId="77777777" w:rsidR="00324ACB" w:rsidRDefault="001F2BE2">
      <w:r>
        <w:t>──────────────────────────────────────────────────</w:t>
      </w:r>
    </w:p>
    <w:p w14:paraId="0B09C81C" w14:textId="77777777" w:rsidR="00324ACB" w:rsidRDefault="001F2BE2" w:rsidP="00E819DA">
      <w:pPr>
        <w:pStyle w:val="Heading2"/>
      </w:pPr>
      <w:r>
        <w:t>7. Triple Aim</w:t>
      </w:r>
    </w:p>
    <w:p w14:paraId="114E7F0A" w14:textId="77777777" w:rsidR="00324ACB" w:rsidRDefault="001F2BE2">
      <w:pPr>
        <w:pStyle w:val="ListBullet"/>
      </w:pPr>
      <w:r>
        <w:rPr>
          <w:b/>
        </w:rPr>
        <w:t>Improved quality, safety, and experience of care:</w:t>
      </w:r>
      <w:r>
        <w:t xml:space="preserve"> "Improve monitoring, review, and management for patients with Type 2 diabetes, including timely identification and classification under the revised diagnostic criteria, and ensuring eligible patients have access to funded newer therapies."</w:t>
      </w:r>
    </w:p>
    <w:p w14:paraId="0B6C6433" w14:textId="77777777" w:rsidR="00324ACB" w:rsidRDefault="001F2BE2">
      <w:pPr>
        <w:pStyle w:val="ListBullet"/>
      </w:pPr>
      <w:r>
        <w:rPr>
          <w:b/>
        </w:rPr>
        <w:t>Improved health and equity for all populations:</w:t>
      </w:r>
      <w:r>
        <w:t xml:space="preserve"> "Identify and reduce inequities in diabetes care and outcomes for Māori, Pasifika, Indo-Asian, and other priority populations."</w:t>
      </w:r>
    </w:p>
    <w:p w14:paraId="584CA987" w14:textId="77777777" w:rsidR="00324ACB" w:rsidRDefault="001F2BE2">
      <w:pPr>
        <w:pStyle w:val="ListBullet"/>
      </w:pPr>
      <w:r>
        <w:rPr>
          <w:b/>
        </w:rPr>
        <w:t>Best value for public health system resources:</w:t>
      </w:r>
      <w:r>
        <w:t xml:space="preserve"> "Reduce avoidable complications and hospital admissions through proactive diabetes management and early intervention."</w:t>
      </w:r>
    </w:p>
    <w:p w14:paraId="1010984E" w14:textId="77777777" w:rsidR="00324ACB" w:rsidRDefault="001F2BE2">
      <w:r>
        <w:t>──────────────────────────────────────────────────</w:t>
      </w:r>
    </w:p>
    <w:p w14:paraId="67AFB044" w14:textId="77777777" w:rsidR="00324ACB" w:rsidRDefault="001F2BE2" w:rsidP="00E819DA">
      <w:pPr>
        <w:pStyle w:val="Heading2"/>
      </w:pPr>
      <w:r>
        <w:t>8. Timeframe</w:t>
      </w:r>
    </w:p>
    <w:p w14:paraId="5A0A08ED" w14:textId="77777777" w:rsidR="00324ACB" w:rsidRDefault="001F2BE2">
      <w:r>
        <w:t>Suggested wording (adapt locally):</w:t>
      </w:r>
    </w:p>
    <w:p w14:paraId="4E055F56" w14:textId="77777777" w:rsidR="00324ACB" w:rsidRDefault="001F2BE2">
      <w:pPr>
        <w:pStyle w:val="ListBullet"/>
      </w:pPr>
      <w:r>
        <w:t>Baseline audit: ___ weeks</w:t>
      </w:r>
    </w:p>
    <w:p w14:paraId="3F274E05" w14:textId="77777777" w:rsidR="00324ACB" w:rsidRDefault="001F2BE2">
      <w:pPr>
        <w:pStyle w:val="ListBullet"/>
      </w:pPr>
      <w:r>
        <w:t>Improvement actions: ___ months</w:t>
      </w:r>
    </w:p>
    <w:p w14:paraId="61E8DF3F" w14:textId="77777777" w:rsidR="00324ACB" w:rsidRDefault="001F2BE2">
      <w:pPr>
        <w:pStyle w:val="ListBullet"/>
      </w:pPr>
      <w:r>
        <w:t>Re-audit: ___ weeks</w:t>
      </w:r>
    </w:p>
    <w:p w14:paraId="3DC94E07" w14:textId="77777777" w:rsidR="00324ACB" w:rsidRDefault="001F2BE2">
      <w:r>
        <w:t>──────────────────────────────────────────────────</w:t>
      </w:r>
    </w:p>
    <w:p w14:paraId="6EC329B9" w14:textId="77777777" w:rsidR="00324ACB" w:rsidRDefault="001F2BE2" w:rsidP="00E819DA">
      <w:pPr>
        <w:pStyle w:val="Heading2"/>
      </w:pPr>
      <w:r>
        <w:lastRenderedPageBreak/>
        <w:t>9. Anticipated Outcomes</w:t>
      </w:r>
    </w:p>
    <w:p w14:paraId="50248D7A" w14:textId="77777777" w:rsidR="00324ACB" w:rsidRDefault="001F2BE2">
      <w:r>
        <w:t>Suggested wording:</w:t>
      </w:r>
    </w:p>
    <w:p w14:paraId="2554511F" w14:textId="77777777" w:rsidR="00324ACB" w:rsidRDefault="001F2BE2">
      <w:r>
        <w:t>"The practice anticipates improvements in diabetes monitoring and management, including timely classification of patients meeting the revised diagnostic criteria, improved Diabetes Annual Review completion, improved glycaemic control, increased uptake of funded newer therapies where eligible, and reduction of identified equity gaps for priority populations."</w:t>
      </w:r>
    </w:p>
    <w:sectPr w:rsidR="00324AC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CF1AD" w14:textId="77777777" w:rsidR="00E24ACF" w:rsidRDefault="00E24ACF" w:rsidP="009F0895">
      <w:pPr>
        <w:spacing w:after="0" w:line="240" w:lineRule="auto"/>
      </w:pPr>
      <w:r>
        <w:separator/>
      </w:r>
    </w:p>
  </w:endnote>
  <w:endnote w:type="continuationSeparator" w:id="0">
    <w:p w14:paraId="3D7A99E7" w14:textId="77777777" w:rsidR="00E24ACF" w:rsidRDefault="00E24ACF" w:rsidP="009F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B2C5" w14:textId="77777777" w:rsidR="00EB7270" w:rsidRDefault="00EB7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3CA5" w14:textId="77777777" w:rsidR="00EB7270" w:rsidRDefault="00EB7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B640" w14:textId="77777777" w:rsidR="00EB7270" w:rsidRDefault="00EB7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D32E" w14:textId="77777777" w:rsidR="00E24ACF" w:rsidRDefault="00E24ACF" w:rsidP="009F0895">
      <w:pPr>
        <w:spacing w:after="0" w:line="240" w:lineRule="auto"/>
      </w:pPr>
      <w:r>
        <w:separator/>
      </w:r>
    </w:p>
  </w:footnote>
  <w:footnote w:type="continuationSeparator" w:id="0">
    <w:p w14:paraId="40A9C0DD" w14:textId="77777777" w:rsidR="00E24ACF" w:rsidRDefault="00E24ACF" w:rsidP="009F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3C16" w14:textId="77777777" w:rsidR="00EB7270" w:rsidRDefault="00EB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1471" w14:textId="77777777" w:rsidR="00EB7270" w:rsidRDefault="00E24ACF">
    <w:pPr>
      <w:pStyle w:val="Header"/>
      <w:jc w:val="right"/>
    </w:pPr>
    <w:r>
      <w:rPr>
        <w:noProof/>
      </w:rPr>
      <w:drawing>
        <wp:inline distT="0" distB="0" distL="0" distR="0" wp14:anchorId="75925F36" wp14:editId="0B5B8386">
          <wp:extent cx="1620000" cy="53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outh_Logo_horizontal.png"/>
                  <pic:cNvPicPr/>
                </pic:nvPicPr>
                <pic:blipFill>
                  <a:blip r:embed="rId1"/>
                  <a:stretch>
                    <a:fillRect/>
                  </a:stretch>
                </pic:blipFill>
                <pic:spPr>
                  <a:xfrm>
                    <a:off x="0" y="0"/>
                    <a:ext cx="1620000" cy="536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B1BE" w14:textId="77777777" w:rsidR="00EB7270" w:rsidRDefault="00EB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9285502">
    <w:abstractNumId w:val="8"/>
  </w:num>
  <w:num w:numId="2" w16cid:durableId="1812549901">
    <w:abstractNumId w:val="6"/>
  </w:num>
  <w:num w:numId="3" w16cid:durableId="461269436">
    <w:abstractNumId w:val="5"/>
  </w:num>
  <w:num w:numId="4" w16cid:durableId="485515572">
    <w:abstractNumId w:val="4"/>
  </w:num>
  <w:num w:numId="5" w16cid:durableId="438331106">
    <w:abstractNumId w:val="7"/>
  </w:num>
  <w:num w:numId="6" w16cid:durableId="1049107994">
    <w:abstractNumId w:val="3"/>
  </w:num>
  <w:num w:numId="7" w16cid:durableId="1935939674">
    <w:abstractNumId w:val="2"/>
  </w:num>
  <w:num w:numId="8" w16cid:durableId="984355683">
    <w:abstractNumId w:val="1"/>
  </w:num>
  <w:num w:numId="9" w16cid:durableId="1920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769"/>
    <w:rsid w:val="0015074B"/>
    <w:rsid w:val="001D6F37"/>
    <w:rsid w:val="001F2BE2"/>
    <w:rsid w:val="002750CB"/>
    <w:rsid w:val="0029639D"/>
    <w:rsid w:val="002A1FF4"/>
    <w:rsid w:val="00324ACB"/>
    <w:rsid w:val="00326F90"/>
    <w:rsid w:val="004546BD"/>
    <w:rsid w:val="00573ACF"/>
    <w:rsid w:val="00725E53"/>
    <w:rsid w:val="00886DDA"/>
    <w:rsid w:val="009F0895"/>
    <w:rsid w:val="00AA1D8D"/>
    <w:rsid w:val="00B44545"/>
    <w:rsid w:val="00B47730"/>
    <w:rsid w:val="00B8788D"/>
    <w:rsid w:val="00BD5FD3"/>
    <w:rsid w:val="00C610A7"/>
    <w:rsid w:val="00CB0664"/>
    <w:rsid w:val="00DB7B54"/>
    <w:rsid w:val="00E24ACF"/>
    <w:rsid w:val="00E819DA"/>
    <w:rsid w:val="00EB7270"/>
    <w:rsid w:val="00FC693F"/>
    <w:rsid w:val="00FD1D9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48CB13"/>
  <w14:defaultImageDpi w14:val="300"/>
  <w15:docId w15:val="{43428EE1-82D7-454C-BACA-BF169102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cs="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eastAsia="Aptos" w:hAnsi="Aptos" w:cs="Aptos"/>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eastAsia="Aptos" w:hAnsi="Aptos" w:cs="Aptos"/>
    </w:rPr>
  </w:style>
  <w:style w:type="paragraph" w:styleId="NoSpacing">
    <w:name w:val="No Spacing"/>
    <w:uiPriority w:val="1"/>
    <w:qFormat/>
    <w:rsid w:val="00FC693F"/>
    <w:pPr>
      <w:spacing w:after="0" w:line="240" w:lineRule="auto"/>
    </w:pPr>
    <w:rPr>
      <w:rFonts w:ascii="Aptos" w:eastAsia="Aptos" w:hAnsi="Aptos" w:cs="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eastAsia="Aptos" w:hAnsi="Aptos" w:cs="Aptos"/>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eastAsia="Aptos" w:hAnsi="Aptos" w:cs="Aptos"/>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Aptos" w:eastAsia="Aptos" w:hAnsi="Aptos" w:cs="Aptos"/>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eastAsia="Aptos" w:hAnsi="Aptos" w:cs="Aptos"/>
      <w:sz w:val="20"/>
      <w:szCs w:val="20"/>
    </w:rPr>
  </w:style>
  <w:style w:type="character" w:customStyle="1" w:styleId="MacroTextChar">
    <w:name w:val="Macro Text Char"/>
    <w:basedOn w:val="DefaultParagraphFont"/>
    <w:link w:val="MacroText"/>
    <w:uiPriority w:val="99"/>
    <w:rsid w:val="0029639D"/>
    <w:rPr>
      <w:rFonts w:ascii="Aptos" w:eastAsia="Aptos" w:hAnsi="Aptos" w:cs="Aptos"/>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eastAsia="Aptos" w:hAnsi="Aptos" w:cs="Aptos"/>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rFonts w:ascii="Aptos" w:eastAsia="Aptos" w:hAnsi="Aptos" w:cs="Aptos"/>
      <w:b/>
      <w:bCs/>
    </w:rPr>
  </w:style>
  <w:style w:type="character" w:styleId="Emphasis">
    <w:name w:val="Emphasis"/>
    <w:basedOn w:val="DefaultParagraphFont"/>
    <w:uiPriority w:val="20"/>
    <w:qFormat/>
    <w:rsid w:val="00FC693F"/>
    <w:rPr>
      <w:rFonts w:ascii="Aptos" w:eastAsia="Aptos" w:hAnsi="Aptos" w:cs="Aptos"/>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eastAsia="Aptos" w:hAnsi="Aptos" w:cs="Aptos"/>
      <w:b/>
      <w:bCs/>
      <w:i/>
      <w:iCs/>
      <w:color w:val="4F81BD" w:themeColor="accent1"/>
    </w:rPr>
  </w:style>
  <w:style w:type="character" w:styleId="SubtleEmphasis">
    <w:name w:val="Subtle Emphasis"/>
    <w:basedOn w:val="DefaultParagraphFont"/>
    <w:uiPriority w:val="19"/>
    <w:qFormat/>
    <w:rsid w:val="00FC693F"/>
    <w:rPr>
      <w:rFonts w:ascii="Aptos" w:eastAsia="Aptos" w:hAnsi="Aptos" w:cs="Aptos"/>
      <w:i/>
      <w:iCs/>
      <w:color w:val="808080" w:themeColor="text1" w:themeTint="7F"/>
    </w:rPr>
  </w:style>
  <w:style w:type="character" w:styleId="IntenseEmphasis">
    <w:name w:val="Intense Emphasis"/>
    <w:basedOn w:val="DefaultParagraphFont"/>
    <w:uiPriority w:val="21"/>
    <w:qFormat/>
    <w:rsid w:val="00FC693F"/>
    <w:rPr>
      <w:rFonts w:ascii="Aptos" w:eastAsia="Aptos" w:hAnsi="Aptos" w:cs="Aptos"/>
      <w:b/>
      <w:bCs/>
      <w:i/>
      <w:iCs/>
      <w:color w:val="4F81BD" w:themeColor="accent1"/>
    </w:rPr>
  </w:style>
  <w:style w:type="character" w:styleId="SubtleReference">
    <w:name w:val="Subtle Reference"/>
    <w:basedOn w:val="DefaultParagraphFont"/>
    <w:uiPriority w:val="31"/>
    <w:qFormat/>
    <w:rsid w:val="00FC693F"/>
    <w:rPr>
      <w:rFonts w:ascii="Aptos" w:eastAsia="Aptos" w:hAnsi="Aptos" w:cs="Aptos"/>
      <w:smallCaps/>
      <w:color w:val="C0504D" w:themeColor="accent2"/>
      <w:u w:val="single"/>
    </w:rPr>
  </w:style>
  <w:style w:type="character" w:styleId="IntenseReference">
    <w:name w:val="Intense Reference"/>
    <w:basedOn w:val="DefaultParagraphFont"/>
    <w:uiPriority w:val="32"/>
    <w:qFormat/>
    <w:rsid w:val="00FC693F"/>
    <w:rPr>
      <w:rFonts w:ascii="Aptos" w:eastAsia="Aptos" w:hAnsi="Aptos" w:cs="Aptos"/>
      <w:b/>
      <w:bCs/>
      <w:smallCaps/>
      <w:color w:val="C0504D" w:themeColor="accent2"/>
      <w:spacing w:val="5"/>
      <w:u w:val="single"/>
    </w:rPr>
  </w:style>
  <w:style w:type="character" w:styleId="BookTitle">
    <w:name w:val="Book Title"/>
    <w:basedOn w:val="DefaultParagraphFont"/>
    <w:uiPriority w:val="33"/>
    <w:qFormat/>
    <w:rsid w:val="00FC693F"/>
    <w:rPr>
      <w:rFonts w:ascii="Aptos" w:eastAsia="Aptos" w:hAnsi="Aptos" w:cs="Aptos"/>
      <w:b/>
      <w:bCs/>
      <w:smallCaps/>
      <w:spacing w:val="5"/>
    </w:rPr>
  </w:style>
  <w:style w:type="paragraph" w:styleId="TOCHeading">
    <w:name w:val="TOC Heading"/>
    <w:basedOn w:val="Heading1"/>
    <w:next w:val="Normal"/>
    <w:uiPriority w:val="39"/>
    <w:semiHidden/>
    <w:unhideWhenUsed/>
    <w:qFormat/>
    <w:rsid w:val="00FC693F"/>
    <w:pPr>
      <w:outlineLvl w:val="9"/>
    </w:pPr>
    <w:rPr>
      <w:rFonts w:ascii="Aptos" w:eastAsia="Aptos" w:hAnsi="Aptos" w:cs="Aptos"/>
    </w:rPr>
  </w:style>
  <w:style w:type="table" w:styleId="TableGrid">
    <w:name w:val="Table Grid"/>
    <w:basedOn w:val="TableNormal"/>
    <w:uiPriority w:val="59"/>
    <w:rsid w:val="00FC693F"/>
    <w:pPr>
      <w:spacing w:after="0" w:line="240" w:lineRule="auto"/>
    </w:pPr>
    <w:rPr>
      <w:rFonts w:ascii="Aptos" w:eastAsia="Aptos" w:hAnsi="Apto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Aptos" w:eastAsia="Aptos" w:hAnsi="Aptos" w:cs="Apto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ptos" w:eastAsia="Aptos" w:hAnsi="Aptos" w:cs="Aptos"/>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ptos" w:eastAsia="Aptos" w:hAnsi="Aptos" w:cs="Aptos"/>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ptos" w:eastAsia="Aptos" w:hAnsi="Aptos" w:cs="Aptos"/>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ptos" w:eastAsia="Aptos" w:hAnsi="Aptos" w:cs="Aptos"/>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ptos" w:eastAsia="Aptos" w:hAnsi="Aptos" w:cs="Aptos"/>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ptos" w:eastAsia="Aptos" w:hAnsi="Aptos" w:cs="Aptos"/>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ptos" w:eastAsia="Aptos" w:hAnsi="Aptos" w:cs="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ptos" w:eastAsia="Aptos" w:hAnsi="Aptos" w:cs="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ptos" w:eastAsia="Aptos" w:hAnsi="Aptos" w:cs="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ptos" w:eastAsia="Aptos" w:hAnsi="Aptos" w:cs="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ptos" w:eastAsia="Aptos" w:hAnsi="Aptos" w:cs="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ptos" w:eastAsia="Aptos" w:hAnsi="Aptos" w:cs="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ptos" w:eastAsia="Aptos" w:hAnsi="Aptos" w:cs="Apto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ptos" w:eastAsia="Aptos" w:hAnsi="Aptos" w:cs="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ptos" w:eastAsia="Aptos" w:hAnsi="Aptos" w:cs="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ptos" w:eastAsia="Aptos" w:hAnsi="Aptos" w:cs="Apto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ptos" w:eastAsia="Aptos" w:hAnsi="Aptos" w:cs="Aptos"/>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ptos" w:eastAsia="Aptos" w:hAnsi="Aptos" w:cs="Apto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ptos" w:eastAsia="Aptos" w:hAnsi="Aptos" w:cs="Aptos"/>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719</Words>
  <Characters>4830</Characters>
  <Application>Microsoft Office Word</Application>
  <DocSecurity>0</DocSecurity>
  <Lines>96</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Maryke Benadé</cp:lastModifiedBy>
  <cp:revision>5</cp:revision>
  <cp:lastPrinted>2026-05-04T02:36:00Z</cp:lastPrinted>
  <dcterms:created xsi:type="dcterms:W3CDTF">2026-07-03T00:46:00Z</dcterms:created>
  <dcterms:modified xsi:type="dcterms:W3CDTF">2026-07-03T01:32:00Z</dcterms:modified>
  <cp:category/>
</cp:coreProperties>
</file>