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59FC" w14:textId="77777777" w:rsidR="004E630C" w:rsidRPr="00F36757" w:rsidRDefault="004E630C" w:rsidP="00F36757">
      <w:pPr>
        <w:pStyle w:val="Title"/>
      </w:pPr>
      <w:r w:rsidRPr="00F36757">
        <w:t xml:space="preserve">Thalamus Type </w:t>
      </w:r>
      <w:r w:rsidR="00041D25" w:rsidRPr="00F36757">
        <w:t>2</w:t>
      </w:r>
      <w:r w:rsidRPr="00F36757">
        <w:t xml:space="preserve"> </w:t>
      </w:r>
      <w:r w:rsidR="00041D25" w:rsidRPr="00F36757">
        <w:t>D</w:t>
      </w:r>
      <w:r w:rsidRPr="00F36757">
        <w:t>iabetes</w:t>
      </w:r>
      <w:r w:rsidR="00041D25" w:rsidRPr="00F36757">
        <w:t xml:space="preserve"> Audit.</w:t>
      </w:r>
    </w:p>
    <w:p w14:paraId="666D21F3" w14:textId="438529E7" w:rsidR="006F6420" w:rsidRPr="00F36757" w:rsidRDefault="00041D25" w:rsidP="00F36757">
      <w:pPr>
        <w:pStyle w:val="Title"/>
      </w:pPr>
      <w:r w:rsidRPr="00F36757">
        <w:t xml:space="preserve"> Mini Audit 1 - New Diagnoses Classifications and Recalls</w:t>
      </w:r>
    </w:p>
    <w:p w14:paraId="6033069E" w14:textId="77777777" w:rsidR="006F6420" w:rsidRDefault="00041D25">
      <w:pPr>
        <w:pStyle w:val="Heading1"/>
      </w:pPr>
      <w:r>
        <w:rPr>
          <w:rFonts w:ascii="Aptos" w:eastAsia="Aptos" w:hAnsi="Aptos" w:cs="Aptos"/>
        </w:rPr>
        <w:t>Thalamus Type 2 Diabetes Audit Package</w:t>
      </w:r>
    </w:p>
    <w:p w14:paraId="2091BA1C" w14:textId="77777777" w:rsidR="006F6420" w:rsidRDefault="00041D25">
      <w:pPr>
        <w:pStyle w:val="Heading2"/>
      </w:pPr>
      <w:r>
        <w:rPr>
          <w:rFonts w:ascii="Aptos" w:eastAsia="Aptos" w:hAnsi="Aptos" w:cs="Aptos"/>
        </w:rPr>
        <w:t>MINI AUDIT 1: New Diagnoses, Classifications and Recalls</w:t>
      </w:r>
    </w:p>
    <w:p w14:paraId="1A6069B8" w14:textId="77777777" w:rsidR="001B3A78" w:rsidRDefault="001B3A78" w:rsidP="001B3A78"/>
    <w:p w14:paraId="24AF1284" w14:textId="71530E81" w:rsidR="001B3A78" w:rsidRDefault="001B3A78" w:rsidP="001B3A78">
      <w:r>
        <w:t>Link to Thalamus audit pages</w:t>
      </w:r>
    </w:p>
    <w:p w14:paraId="448C25C7" w14:textId="22970B8D" w:rsidR="001B3A78" w:rsidRPr="001B3A78" w:rsidRDefault="001B3A78" w:rsidP="001B3A78">
      <w:pPr>
        <w:rPr>
          <w:lang w:val="en-NZ"/>
        </w:rPr>
      </w:pPr>
      <w:hyperlink r:id="rId7" w:history="1">
        <w:r w:rsidRPr="001B3A78">
          <w:rPr>
            <w:rStyle w:val="Hyperlink"/>
            <w:lang w:val="en-NZ"/>
          </w:rPr>
          <w:t>https://thalamus.nz/?report-key=713</w:t>
        </w:r>
      </w:hyperlink>
    </w:p>
    <w:p w14:paraId="119D8E6E" w14:textId="77777777" w:rsidR="006F6420" w:rsidRDefault="00041D25">
      <w:pPr>
        <w:pStyle w:val="Heading3"/>
      </w:pPr>
      <w:r>
        <w:rPr>
          <w:rFonts w:ascii="Aptos" w:eastAsia="Aptos" w:hAnsi="Aptos" w:cs="Aptos"/>
        </w:rPr>
        <w:t>WellSouth Primary Health Network</w:t>
      </w:r>
    </w:p>
    <w:p w14:paraId="646DC5A9" w14:textId="77777777" w:rsidR="006F6420" w:rsidRDefault="00041D25">
      <w:r>
        <w:rPr>
          <w:i/>
        </w:rPr>
        <w:t>Read the Introduction before starting. It is recommended to complete Mini Audit 1 before Mini Audits 2 and 3.</w:t>
      </w:r>
    </w:p>
    <w:p w14:paraId="6244CAF8" w14:textId="77777777" w:rsidR="006F6420" w:rsidRDefault="00041D25">
      <w:r>
        <w:t>──────────────────────────────────────────────────</w:t>
      </w:r>
    </w:p>
    <w:p w14:paraId="042B7F7D" w14:textId="77777777" w:rsidR="006F6420" w:rsidRDefault="00041D25">
      <w:pPr>
        <w:pStyle w:val="Heading2"/>
      </w:pPr>
      <w:r>
        <w:rPr>
          <w:rFonts w:ascii="Aptos" w:eastAsia="Aptos" w:hAnsi="Aptos" w:cs="Aptos"/>
        </w:rPr>
        <w:t>Why This Audit?</w:t>
      </w:r>
    </w:p>
    <w:p w14:paraId="13C68766" w14:textId="77777777" w:rsidR="006F6420" w:rsidRDefault="00041D25">
      <w:r>
        <w:t>The threshold change means patients with an HbA1c of 48 or 49 mmol/mol who were previously classified as pre-diabetic now meet the diagnostic criteria for T2D. This is the most time-sensitive audit and should be completed first, as it identifies a new group of patients who need classification and care.</w:t>
      </w:r>
    </w:p>
    <w:p w14:paraId="4245153E" w14:textId="77777777" w:rsidR="006F6420" w:rsidRDefault="00041D25">
      <w:r>
        <w:rPr>
          <w:b/>
        </w:rPr>
        <w:t>Why this matters most first:</w:t>
      </w:r>
      <w:r>
        <w:t xml:space="preserve"> Identifying unclassified patients with HbA1c &gt;= 48 is itself a key baseline audit finding. It must be captured before any classification changes are made. Once recorded, practices can then verify existing T2D classifications and proceed to Mini Audits 2 and 3.</w:t>
      </w:r>
    </w:p>
    <w:p w14:paraId="6F4CC669" w14:textId="77777777" w:rsidR="006F6420" w:rsidRDefault="00041D25">
      <w:r>
        <w:t>──────────────────────────────────────────────────</w:t>
      </w:r>
    </w:p>
    <w:p w14:paraId="6F6490A5" w14:textId="77777777" w:rsidR="006F6420" w:rsidRDefault="00041D25">
      <w:pPr>
        <w:pStyle w:val="Heading2"/>
      </w:pPr>
      <w:r>
        <w:rPr>
          <w:rFonts w:ascii="Aptos" w:eastAsia="Aptos" w:hAnsi="Aptos" w:cs="Aptos"/>
        </w:rPr>
        <w:t>Step-by-Step Guide (Using Thalamus)</w:t>
      </w:r>
    </w:p>
    <w:p w14:paraId="000DF65E" w14:textId="77777777" w:rsidR="006F6420" w:rsidRDefault="00041D25">
      <w:r>
        <w:rPr>
          <w:b/>
        </w:rPr>
        <w:t>Step 1 — Identify newly diagnosable patients first (before any PMS changes)</w:t>
      </w:r>
    </w:p>
    <w:p w14:paraId="32B12155" w14:textId="77777777" w:rsidR="006F6420" w:rsidRDefault="00041D25">
      <w:r>
        <w:t>Use the Thalamus "unclassified with HbA1c &gt;= 48" view. Thalamus displays two separate lists:</w:t>
      </w:r>
    </w:p>
    <w:p w14:paraId="505881A9" w14:textId="0B923174" w:rsidR="006F6420" w:rsidRDefault="00041D25">
      <w:pPr>
        <w:pStyle w:val="ListBullet"/>
      </w:pPr>
      <w:r>
        <w:rPr>
          <w:b/>
        </w:rPr>
        <w:t>Confirmed uncoded:</w:t>
      </w:r>
      <w:r>
        <w:t xml:space="preserve"> patients with HbA1c &gt;= 53 (single reading), or two or more readings &gt;= 48</w:t>
      </w:r>
      <w:r w:rsidR="004E630C">
        <w:t xml:space="preserve"> - no confirmatory test required.</w:t>
      </w:r>
    </w:p>
    <w:p w14:paraId="6E731851" w14:textId="7C8F74C5" w:rsidR="006F6420" w:rsidRDefault="00041D25">
      <w:pPr>
        <w:pStyle w:val="ListBullet"/>
      </w:pPr>
      <w:r>
        <w:rPr>
          <w:b/>
        </w:rPr>
        <w:lastRenderedPageBreak/>
        <w:t>Unconfirmed uncoded:</w:t>
      </w:r>
      <w:r>
        <w:t xml:space="preserve"> patients with only </w:t>
      </w:r>
      <w:r w:rsidR="004E630C">
        <w:t>HbA1c</w:t>
      </w:r>
      <w:r>
        <w:t xml:space="preserve">one reading in the 48–52 mmol/mol range </w:t>
      </w:r>
      <w:r w:rsidR="004E630C">
        <w:t>-</w:t>
      </w:r>
      <w:r>
        <w:t xml:space="preserve"> a repeat test</w:t>
      </w:r>
      <w:r w:rsidR="004E630C">
        <w:t xml:space="preserve"> is required.</w:t>
      </w:r>
    </w:p>
    <w:p w14:paraId="5078D928" w14:textId="203DC9BD" w:rsidR="006F6420" w:rsidRDefault="00041D25">
      <w:r>
        <w:t>Record the baseline count from both lists in Tables 1 before making any changes to the PMS.</w:t>
      </w:r>
    </w:p>
    <w:p w14:paraId="5588CAD5" w14:textId="4A5B5E6C" w:rsidR="006F6420" w:rsidRDefault="00041D25">
      <w:r>
        <w:rPr>
          <w:b/>
        </w:rPr>
        <w:t>Step 2 — Verify existing T2D classifications</w:t>
      </w:r>
    </w:p>
    <w:p w14:paraId="7BDA415D" w14:textId="77777777" w:rsidR="006F6420" w:rsidRDefault="00041D25">
      <w:r>
        <w:t>Once newly diagnosable patients are recorded, confirm existing T2D classifications in the PMS are accurate. Inaccurate classification means patients will not appear in Thalamus audit views.</w:t>
      </w:r>
    </w:p>
    <w:p w14:paraId="7F0A93E1" w14:textId="3AC74C94" w:rsidR="006F6420" w:rsidRDefault="00041D25">
      <w:r>
        <w:rPr>
          <w:b/>
        </w:rPr>
        <w:t xml:space="preserve">Step </w:t>
      </w:r>
      <w:r w:rsidR="004E630C">
        <w:rPr>
          <w:b/>
        </w:rPr>
        <w:t>3</w:t>
      </w:r>
      <w:r>
        <w:rPr>
          <w:b/>
        </w:rPr>
        <w:t xml:space="preserve"> — Take action</w:t>
      </w:r>
    </w:p>
    <w:p w14:paraId="53D80BC2" w14:textId="77777777" w:rsidR="006F6420" w:rsidRDefault="00041D25">
      <w:r>
        <w:t>Suggested actions:</w:t>
      </w:r>
    </w:p>
    <w:p w14:paraId="2247F668" w14:textId="7BF6F237" w:rsidR="006F6420" w:rsidRDefault="00041D25">
      <w:pPr>
        <w:pStyle w:val="ListBullet"/>
      </w:pPr>
      <w:r>
        <w:t>Confirmed cases (HbA1c &gt;= 53 single reading, or two readings &gt;= 48): update PMS classification and contact the patient for GP/NP review and a DAR.</w:t>
      </w:r>
      <w:r w:rsidR="004E630C">
        <w:t xml:space="preserve"> Add recalls for annual bloods, urinary ACR, DAR. Refer for retinal screening.</w:t>
      </w:r>
    </w:p>
    <w:p w14:paraId="3DC4C0F5" w14:textId="77777777" w:rsidR="006F6420" w:rsidRDefault="00041D25">
      <w:pPr>
        <w:pStyle w:val="ListBullet"/>
      </w:pPr>
      <w:r>
        <w:t>Needs repeat test (single reading 48–52): recall for repeat HbA1c, fasting glucose, or random glucose if symptomatic.</w:t>
      </w:r>
    </w:p>
    <w:p w14:paraId="402B544A" w14:textId="0B37B51B" w:rsidR="006F6420" w:rsidRDefault="4E43169A">
      <w:pPr>
        <w:pStyle w:val="ListBullet"/>
      </w:pPr>
      <w:r>
        <w:t xml:space="preserve">Prioritise Māori, Pasifika, Indo-Asian, </w:t>
      </w:r>
      <w:r w:rsidR="463814F8">
        <w:t>Under 25 years old</w:t>
      </w:r>
      <w:r>
        <w:t xml:space="preserve">, </w:t>
      </w:r>
      <w:r w:rsidR="0A89C277">
        <w:t>Under 60 years old</w:t>
      </w:r>
      <w:r>
        <w:t>, SEMI, and NZDep Q5 patients at every step</w:t>
      </w:r>
      <w:r w:rsidR="1E0BC324">
        <w:t>, with particular attention to those with poorest glycaemic control within these groups</w:t>
      </w:r>
      <w:r>
        <w:t>.</w:t>
      </w:r>
    </w:p>
    <w:p w14:paraId="594D7A31" w14:textId="77777777" w:rsidR="006F6420" w:rsidRDefault="00041D25">
      <w:r>
        <w:t>──────────────────────────────────────────────────</w:t>
      </w:r>
    </w:p>
    <w:p w14:paraId="0C558571" w14:textId="77777777" w:rsidR="006F6420" w:rsidRDefault="00041D25">
      <w:pPr>
        <w:pStyle w:val="Heading2"/>
      </w:pPr>
      <w:r>
        <w:rPr>
          <w:rFonts w:ascii="Aptos" w:eastAsia="Aptos" w:hAnsi="Aptos" w:cs="Aptos"/>
        </w:rPr>
        <w:t>Practical Intervention Examples</w:t>
      </w:r>
    </w:p>
    <w:p w14:paraId="47ECF925" w14:textId="77777777" w:rsidR="006F6420" w:rsidRDefault="00041D25">
      <w:r>
        <w:rPr>
          <w:b/>
        </w:rPr>
        <w:t>For newly diagnosable confirmed patients:</w:t>
      </w:r>
    </w:p>
    <w:p w14:paraId="691EEA03" w14:textId="46C52D6E" w:rsidR="006F6420" w:rsidRDefault="00041D25">
      <w:pPr>
        <w:pStyle w:val="ListBullet"/>
      </w:pPr>
      <w:r>
        <w:t xml:space="preserve">Download the </w:t>
      </w:r>
      <w:r w:rsidR="004E630C">
        <w:t xml:space="preserve"> confirmed uncoded </w:t>
      </w:r>
      <w:r>
        <w:t>Thalamus patient list and sort by priority population and NZDep quintile</w:t>
      </w:r>
    </w:p>
    <w:p w14:paraId="620472AB" w14:textId="61CFD27B" w:rsidR="006F6420" w:rsidRDefault="00041D25">
      <w:pPr>
        <w:pStyle w:val="ListBullet"/>
      </w:pPr>
      <w:r>
        <w:t xml:space="preserve">Prioritise under-60s, Māori, Pasifika, Indo-Asian, SEMI, and Q5 patients for early contact. Also consider prioritising </w:t>
      </w:r>
      <w:r w:rsidR="004E630C">
        <w:t xml:space="preserve">any newly diagnosed </w:t>
      </w:r>
      <w:r>
        <w:t>patients with an HbA1c &gt; 64 as they have very poor glucose control</w:t>
      </w:r>
    </w:p>
    <w:p w14:paraId="5FAFF471" w14:textId="74A66B77" w:rsidR="006F6420" w:rsidRDefault="00041D25">
      <w:pPr>
        <w:pStyle w:val="ListBullet"/>
      </w:pPr>
      <w:r>
        <w:t xml:space="preserve">Update PMS </w:t>
      </w:r>
      <w:r w:rsidR="004E630C">
        <w:t xml:space="preserve">by adding a </w:t>
      </w:r>
      <w:r>
        <w:t>classification and send a letter/text inviting the patient for a DAR</w:t>
      </w:r>
    </w:p>
    <w:p w14:paraId="7C418995" w14:textId="15793A8C" w:rsidR="006F6420" w:rsidRDefault="00041D25">
      <w:pPr>
        <w:pStyle w:val="ListBullet"/>
      </w:pPr>
      <w:r>
        <w:t>At the DAR, set up recalls for HbA1c testing, urinary ACR, lipids, renal function and diabetic annual review. Send referral to Ophthalmology for retinal screening</w:t>
      </w:r>
    </w:p>
    <w:p w14:paraId="794826F7" w14:textId="77777777" w:rsidR="006F6420" w:rsidRDefault="00041D25">
      <w:r>
        <w:rPr>
          <w:b/>
        </w:rPr>
        <w:t>For patients needing a repeat test:</w:t>
      </w:r>
    </w:p>
    <w:p w14:paraId="4BBF167C" w14:textId="11BB3166" w:rsidR="004E630C" w:rsidRDefault="00972F1D">
      <w:pPr>
        <w:pStyle w:val="ListBullet"/>
      </w:pPr>
      <w:r>
        <w:t>Download</w:t>
      </w:r>
      <w:r w:rsidR="004E630C">
        <w:t xml:space="preserve"> the unconfirmed uncoded Thalamus list</w:t>
      </w:r>
    </w:p>
    <w:p w14:paraId="600BCC16" w14:textId="5028E3FC" w:rsidR="006F6420" w:rsidRDefault="00041D25">
      <w:pPr>
        <w:pStyle w:val="ListBullet"/>
      </w:pPr>
      <w:r>
        <w:lastRenderedPageBreak/>
        <w:t>Send a text or letter explaining a repeat blood test is needed and follow up if not completed within 4 weeks</w:t>
      </w:r>
    </w:p>
    <w:p w14:paraId="180236BA" w14:textId="0384932F" w:rsidR="004E630C" w:rsidRDefault="004E630C">
      <w:pPr>
        <w:pStyle w:val="ListBullet"/>
      </w:pPr>
      <w:r>
        <w:t>Set up a recall to also check HbA1c annually</w:t>
      </w:r>
    </w:p>
    <w:p w14:paraId="3FA159A9" w14:textId="43742C0B" w:rsidR="006F6420" w:rsidRDefault="00041D25">
      <w:pPr>
        <w:pStyle w:val="ListBullet"/>
      </w:pPr>
      <w:r>
        <w:t xml:space="preserve">Prioritise </w:t>
      </w:r>
      <w:r w:rsidR="004E630C">
        <w:t xml:space="preserve">patients </w:t>
      </w:r>
      <w:r>
        <w:t>as above</w:t>
      </w:r>
    </w:p>
    <w:p w14:paraId="2BF970ED" w14:textId="77777777" w:rsidR="006F6420" w:rsidRDefault="00041D25">
      <w:r>
        <w:rPr>
          <w:b/>
        </w:rPr>
        <w:t>For patients with HbA1c &gt; 64 mmol/mol (poorest control):</w:t>
      </w:r>
    </w:p>
    <w:p w14:paraId="2314E867" w14:textId="77777777" w:rsidR="004E630C" w:rsidRDefault="004E630C" w:rsidP="004E630C">
      <w:pPr>
        <w:pStyle w:val="ListBullet"/>
      </w:pPr>
      <w:r>
        <w:t>Check with the clinician, in some elderly patients, an HbA1c over 64 may be clinically acceptable due to the risk of hypoglycaemia and falls. This is a clinical decision.</w:t>
      </w:r>
    </w:p>
    <w:p w14:paraId="1B6E0758" w14:textId="77777777" w:rsidR="006F6420" w:rsidRDefault="00041D25">
      <w:pPr>
        <w:pStyle w:val="ListBullet"/>
      </w:pPr>
      <w:r>
        <w:t>Print the recall list and assign a nurse to telephone each patient, starting with priority populations</w:t>
      </w:r>
    </w:p>
    <w:p w14:paraId="696CC69B" w14:textId="052A9A6F" w:rsidR="004E630C" w:rsidRDefault="004E630C">
      <w:pPr>
        <w:pStyle w:val="ListBullet"/>
      </w:pPr>
      <w:r>
        <w:t>Consider barriers to accessing care, such as appointment times, cost, transport, language and cultural barriers</w:t>
      </w:r>
    </w:p>
    <w:p w14:paraId="671C8D3D" w14:textId="77777777" w:rsidR="006F6420" w:rsidRDefault="00041D25">
      <w:pPr>
        <w:pStyle w:val="ListBullet"/>
      </w:pPr>
      <w:r>
        <w:t>Consider group education sessions or whānau-inclusive consultations</w:t>
      </w:r>
    </w:p>
    <w:p w14:paraId="4D6347EF" w14:textId="77777777" w:rsidR="006F6420" w:rsidRDefault="00041D25">
      <w:r>
        <w:t>──────────────────────────────────────────────────</w:t>
      </w:r>
    </w:p>
    <w:p w14:paraId="74CB6F71" w14:textId="77777777" w:rsidR="006F6420" w:rsidRDefault="00041D25">
      <w:pPr>
        <w:pStyle w:val="Heading2"/>
      </w:pPr>
      <w:r>
        <w:rPr>
          <w:rFonts w:ascii="Aptos" w:eastAsia="Aptos" w:hAnsi="Aptos" w:cs="Aptos"/>
        </w:rPr>
        <w:t>Data Tables — Mini Audit 1</w:t>
      </w:r>
    </w:p>
    <w:p w14:paraId="2ECB7FD6" w14:textId="13653938" w:rsidR="004E630C" w:rsidRPr="001B3A78" w:rsidRDefault="004E630C" w:rsidP="004E630C">
      <w:pPr>
        <w:rPr>
          <w:lang w:val="en-NZ"/>
        </w:rPr>
      </w:pPr>
      <w:r>
        <w:t>LINK TO THALAMUS DASHBOAR</w:t>
      </w:r>
      <w:r w:rsidR="001B3A78">
        <w:t xml:space="preserve">D </w:t>
      </w:r>
      <w:hyperlink r:id="rId8" w:history="1">
        <w:r w:rsidR="001B3A78" w:rsidRPr="001B3A78">
          <w:rPr>
            <w:rStyle w:val="Hyperlink"/>
            <w:lang w:val="en-NZ"/>
          </w:rPr>
          <w:t>https://thalamus.nz/?report-key=713</w:t>
        </w:r>
      </w:hyperlink>
    </w:p>
    <w:p w14:paraId="3B7F372A" w14:textId="47999EA5" w:rsidR="006F6420" w:rsidRDefault="00041D25">
      <w:r w:rsidRPr="1F7060C7">
        <w:rPr>
          <w:b/>
          <w:bCs/>
        </w:rPr>
        <w:t xml:space="preserve">Table 1. Audit Population: Newly Diagnosable Patients (HbA1c &gt;= 48, </w:t>
      </w:r>
      <w:r w:rsidR="1710637A" w:rsidRPr="1F7060C7">
        <w:rPr>
          <w:b/>
          <w:bCs/>
        </w:rPr>
        <w:t>U</w:t>
      </w:r>
      <w:r w:rsidRPr="1F7060C7">
        <w:rPr>
          <w:b/>
          <w:bCs/>
        </w:rPr>
        <w:t>nclassified)</w:t>
      </w:r>
    </w:p>
    <w:p w14:paraId="1A741C81" w14:textId="77777777" w:rsidR="006F6420" w:rsidRDefault="00041D25">
      <w:r>
        <w:t>Complete this table before making any PMS changes. Use both Thalamus lists (confirmed uncoded and unconfirmed uncoded).</w:t>
      </w:r>
    </w:p>
    <w:tbl>
      <w:tblPr>
        <w:tblStyle w:val="TableGrid"/>
        <w:tblW w:w="8541" w:type="dxa"/>
        <w:tblLayout w:type="fixed"/>
        <w:tblLook w:val="04A0" w:firstRow="1" w:lastRow="0" w:firstColumn="1" w:lastColumn="0" w:noHBand="0" w:noVBand="1"/>
      </w:tblPr>
      <w:tblGrid>
        <w:gridCol w:w="1292"/>
        <w:gridCol w:w="1226"/>
        <w:gridCol w:w="1290"/>
        <w:gridCol w:w="1274"/>
        <w:gridCol w:w="1800"/>
        <w:gridCol w:w="1659"/>
      </w:tblGrid>
      <w:tr w:rsidR="001114D8" w14:paraId="5DC5206D" w14:textId="77777777" w:rsidTr="00372C1A">
        <w:trPr>
          <w:trHeight w:val="942"/>
        </w:trPr>
        <w:tc>
          <w:tcPr>
            <w:tcW w:w="1292" w:type="dxa"/>
          </w:tcPr>
          <w:p w14:paraId="515C21BA" w14:textId="77777777" w:rsidR="001114D8" w:rsidRDefault="001114D8">
            <w:r>
              <w:rPr>
                <w:b/>
              </w:rPr>
              <w:t>Population Group</w:t>
            </w:r>
          </w:p>
        </w:tc>
        <w:tc>
          <w:tcPr>
            <w:tcW w:w="1226" w:type="dxa"/>
          </w:tcPr>
          <w:p w14:paraId="5686B3F0" w14:textId="5A3A5D21" w:rsidR="001114D8" w:rsidRDefault="54BA4DD6" w:rsidP="727CE75B">
            <w:pPr>
              <w:rPr>
                <w:b/>
                <w:bCs/>
              </w:rPr>
            </w:pPr>
            <w:r w:rsidRPr="727CE75B">
              <w:rPr>
                <w:b/>
                <w:bCs/>
              </w:rPr>
              <w:t>Confirmed (n)</w:t>
            </w:r>
            <w:r w:rsidR="001114D8">
              <w:br/>
            </w:r>
            <w:r w:rsidR="4FFC28A5" w:rsidRPr="727CE75B">
              <w:rPr>
                <w:b/>
                <w:bCs/>
              </w:rPr>
              <w:t>Action: Classify + book DAR</w:t>
            </w:r>
          </w:p>
        </w:tc>
        <w:tc>
          <w:tcPr>
            <w:tcW w:w="1290" w:type="dxa"/>
          </w:tcPr>
          <w:p w14:paraId="2888A3ED" w14:textId="77777777" w:rsidR="001114D8" w:rsidRDefault="001114D8">
            <w:r>
              <w:rPr>
                <w:b/>
              </w:rPr>
              <w:t>Already actioned</w:t>
            </w:r>
          </w:p>
        </w:tc>
        <w:tc>
          <w:tcPr>
            <w:tcW w:w="1274" w:type="dxa"/>
          </w:tcPr>
          <w:p w14:paraId="15F833CF" w14:textId="22E10428" w:rsidR="001114D8" w:rsidRDefault="54BA4DD6" w:rsidP="727CE75B">
            <w:pPr>
              <w:rPr>
                <w:b/>
                <w:bCs/>
              </w:rPr>
            </w:pPr>
            <w:r w:rsidRPr="727CE75B">
              <w:rPr>
                <w:b/>
                <w:bCs/>
              </w:rPr>
              <w:t>Unconfirmed (n)</w:t>
            </w:r>
            <w:r w:rsidR="001114D8">
              <w:br/>
            </w:r>
            <w:r w:rsidR="7091FF28" w:rsidRPr="727CE75B">
              <w:rPr>
                <w:b/>
                <w:bCs/>
              </w:rPr>
              <w:t>Action: Recall for repeat test</w:t>
            </w:r>
          </w:p>
          <w:p w14:paraId="1D057CF6" w14:textId="239C178C" w:rsidR="001114D8" w:rsidRDefault="001114D8" w:rsidP="727CE75B">
            <w:pPr>
              <w:rPr>
                <w:b/>
                <w:bCs/>
              </w:rPr>
            </w:pPr>
          </w:p>
        </w:tc>
        <w:tc>
          <w:tcPr>
            <w:tcW w:w="1800" w:type="dxa"/>
          </w:tcPr>
          <w:p w14:paraId="3537504D" w14:textId="77777777" w:rsidR="001114D8" w:rsidRDefault="001114D8">
            <w:r>
              <w:rPr>
                <w:b/>
              </w:rPr>
              <w:t>Already actioned</w:t>
            </w:r>
          </w:p>
        </w:tc>
        <w:tc>
          <w:tcPr>
            <w:tcW w:w="1659" w:type="dxa"/>
          </w:tcPr>
          <w:p w14:paraId="2610637B" w14:textId="6B6801CC" w:rsidR="001114D8" w:rsidRDefault="75F95906" w:rsidP="727CE75B">
            <w:pPr>
              <w:rPr>
                <w:b/>
                <w:bCs/>
              </w:rPr>
            </w:pPr>
            <w:r w:rsidRPr="1F7060C7">
              <w:rPr>
                <w:b/>
                <w:bCs/>
              </w:rPr>
              <w:t xml:space="preserve">Total </w:t>
            </w:r>
            <w:r w:rsidR="4C762043" w:rsidRPr="1F7060C7">
              <w:rPr>
                <w:b/>
                <w:bCs/>
              </w:rPr>
              <w:t>U</w:t>
            </w:r>
            <w:r w:rsidRPr="1F7060C7">
              <w:rPr>
                <w:b/>
                <w:bCs/>
              </w:rPr>
              <w:t>nclassified</w:t>
            </w:r>
            <w:r w:rsidR="4A61CDE2" w:rsidRPr="1F7060C7">
              <w:rPr>
                <w:b/>
                <w:bCs/>
              </w:rPr>
              <w:t xml:space="preserve"> (n)</w:t>
            </w:r>
          </w:p>
        </w:tc>
      </w:tr>
      <w:tr w:rsidR="001114D8" w14:paraId="552A7ED3" w14:textId="77777777" w:rsidTr="00372C1A">
        <w:trPr>
          <w:trHeight w:val="577"/>
        </w:trPr>
        <w:tc>
          <w:tcPr>
            <w:tcW w:w="1292" w:type="dxa"/>
          </w:tcPr>
          <w:p w14:paraId="1948A690" w14:textId="6A79020B" w:rsidR="001114D8" w:rsidRDefault="54BA4DD6">
            <w:r>
              <w:t>NZ Euro (</w:t>
            </w:r>
            <w:r w:rsidR="7D8EC50D">
              <w:t>R</w:t>
            </w:r>
            <w:r>
              <w:t>eference)</w:t>
            </w:r>
          </w:p>
        </w:tc>
        <w:tc>
          <w:tcPr>
            <w:tcW w:w="1226" w:type="dxa"/>
          </w:tcPr>
          <w:p w14:paraId="132A98DD" w14:textId="77777777" w:rsidR="001114D8" w:rsidRDefault="001114D8"/>
        </w:tc>
        <w:tc>
          <w:tcPr>
            <w:tcW w:w="1290" w:type="dxa"/>
          </w:tcPr>
          <w:p w14:paraId="2FD73FFE" w14:textId="77777777" w:rsidR="001114D8" w:rsidRDefault="001114D8"/>
        </w:tc>
        <w:tc>
          <w:tcPr>
            <w:tcW w:w="1274" w:type="dxa"/>
          </w:tcPr>
          <w:p w14:paraId="6FBED0DB" w14:textId="77777777" w:rsidR="001114D8" w:rsidRDefault="001114D8"/>
        </w:tc>
        <w:tc>
          <w:tcPr>
            <w:tcW w:w="1800" w:type="dxa"/>
          </w:tcPr>
          <w:p w14:paraId="1375B02E" w14:textId="77777777" w:rsidR="001114D8" w:rsidRDefault="001114D8"/>
        </w:tc>
        <w:tc>
          <w:tcPr>
            <w:tcW w:w="1659" w:type="dxa"/>
          </w:tcPr>
          <w:p w14:paraId="24F48F4F" w14:textId="77777777" w:rsidR="001114D8" w:rsidRDefault="001114D8"/>
        </w:tc>
      </w:tr>
      <w:tr w:rsidR="001114D8" w14:paraId="5AC87DD9" w14:textId="77777777" w:rsidTr="00372C1A">
        <w:trPr>
          <w:trHeight w:val="296"/>
        </w:trPr>
        <w:tc>
          <w:tcPr>
            <w:tcW w:w="1292" w:type="dxa"/>
          </w:tcPr>
          <w:p w14:paraId="5A50362C" w14:textId="77777777" w:rsidR="001114D8" w:rsidRDefault="001114D8">
            <w:r>
              <w:t>Māori</w:t>
            </w:r>
          </w:p>
        </w:tc>
        <w:tc>
          <w:tcPr>
            <w:tcW w:w="1226" w:type="dxa"/>
          </w:tcPr>
          <w:p w14:paraId="523B27CD" w14:textId="77777777" w:rsidR="001114D8" w:rsidRDefault="001114D8"/>
        </w:tc>
        <w:tc>
          <w:tcPr>
            <w:tcW w:w="1290" w:type="dxa"/>
          </w:tcPr>
          <w:p w14:paraId="46541D8E" w14:textId="77777777" w:rsidR="001114D8" w:rsidRDefault="001114D8"/>
        </w:tc>
        <w:tc>
          <w:tcPr>
            <w:tcW w:w="1274" w:type="dxa"/>
          </w:tcPr>
          <w:p w14:paraId="23FEA39C" w14:textId="77777777" w:rsidR="001114D8" w:rsidRDefault="001114D8"/>
        </w:tc>
        <w:tc>
          <w:tcPr>
            <w:tcW w:w="1800" w:type="dxa"/>
          </w:tcPr>
          <w:p w14:paraId="31E63168" w14:textId="77777777" w:rsidR="001114D8" w:rsidRDefault="001114D8"/>
        </w:tc>
        <w:tc>
          <w:tcPr>
            <w:tcW w:w="1659" w:type="dxa"/>
          </w:tcPr>
          <w:p w14:paraId="6702356D" w14:textId="77777777" w:rsidR="001114D8" w:rsidRDefault="001114D8"/>
        </w:tc>
      </w:tr>
      <w:tr w:rsidR="001114D8" w14:paraId="3D816333" w14:textId="77777777" w:rsidTr="00372C1A">
        <w:trPr>
          <w:trHeight w:val="285"/>
        </w:trPr>
        <w:tc>
          <w:tcPr>
            <w:tcW w:w="1292" w:type="dxa"/>
          </w:tcPr>
          <w:p w14:paraId="5890D335" w14:textId="77777777" w:rsidR="001114D8" w:rsidRDefault="001114D8">
            <w:r>
              <w:t>Pasifika</w:t>
            </w:r>
          </w:p>
        </w:tc>
        <w:tc>
          <w:tcPr>
            <w:tcW w:w="1226" w:type="dxa"/>
          </w:tcPr>
          <w:p w14:paraId="47038F3D" w14:textId="77777777" w:rsidR="001114D8" w:rsidRDefault="001114D8"/>
        </w:tc>
        <w:tc>
          <w:tcPr>
            <w:tcW w:w="1290" w:type="dxa"/>
          </w:tcPr>
          <w:p w14:paraId="4BABC12F" w14:textId="77777777" w:rsidR="001114D8" w:rsidRDefault="001114D8"/>
        </w:tc>
        <w:tc>
          <w:tcPr>
            <w:tcW w:w="1274" w:type="dxa"/>
          </w:tcPr>
          <w:p w14:paraId="171F1519" w14:textId="77777777" w:rsidR="001114D8" w:rsidRDefault="001114D8"/>
        </w:tc>
        <w:tc>
          <w:tcPr>
            <w:tcW w:w="1800" w:type="dxa"/>
          </w:tcPr>
          <w:p w14:paraId="2796B39D" w14:textId="77777777" w:rsidR="001114D8" w:rsidRDefault="001114D8"/>
        </w:tc>
        <w:tc>
          <w:tcPr>
            <w:tcW w:w="1659" w:type="dxa"/>
          </w:tcPr>
          <w:p w14:paraId="5B754914" w14:textId="77777777" w:rsidR="001114D8" w:rsidRDefault="001114D8"/>
        </w:tc>
      </w:tr>
      <w:tr w:rsidR="001114D8" w14:paraId="358D4098" w14:textId="77777777" w:rsidTr="00372C1A">
        <w:trPr>
          <w:trHeight w:val="296"/>
        </w:trPr>
        <w:tc>
          <w:tcPr>
            <w:tcW w:w="1292" w:type="dxa"/>
          </w:tcPr>
          <w:p w14:paraId="27C77AB0" w14:textId="77777777" w:rsidR="001114D8" w:rsidRDefault="001114D8">
            <w:r>
              <w:t>Indo-Asian</w:t>
            </w:r>
          </w:p>
        </w:tc>
        <w:tc>
          <w:tcPr>
            <w:tcW w:w="1226" w:type="dxa"/>
          </w:tcPr>
          <w:p w14:paraId="2ABA7FA4" w14:textId="77777777" w:rsidR="001114D8" w:rsidRDefault="001114D8"/>
        </w:tc>
        <w:tc>
          <w:tcPr>
            <w:tcW w:w="1290" w:type="dxa"/>
          </w:tcPr>
          <w:p w14:paraId="7F6834D4" w14:textId="77777777" w:rsidR="001114D8" w:rsidRDefault="001114D8"/>
        </w:tc>
        <w:tc>
          <w:tcPr>
            <w:tcW w:w="1274" w:type="dxa"/>
          </w:tcPr>
          <w:p w14:paraId="5BBFADA3" w14:textId="77777777" w:rsidR="001114D8" w:rsidRDefault="001114D8"/>
        </w:tc>
        <w:tc>
          <w:tcPr>
            <w:tcW w:w="1800" w:type="dxa"/>
          </w:tcPr>
          <w:p w14:paraId="2246E923" w14:textId="77777777" w:rsidR="001114D8" w:rsidRDefault="001114D8"/>
        </w:tc>
        <w:tc>
          <w:tcPr>
            <w:tcW w:w="1659" w:type="dxa"/>
          </w:tcPr>
          <w:p w14:paraId="156A9971" w14:textId="77777777" w:rsidR="001114D8" w:rsidRDefault="001114D8"/>
        </w:tc>
      </w:tr>
      <w:tr w:rsidR="001114D8" w14:paraId="36FB3F1F" w14:textId="77777777" w:rsidTr="00372C1A">
        <w:trPr>
          <w:trHeight w:val="296"/>
        </w:trPr>
        <w:tc>
          <w:tcPr>
            <w:tcW w:w="1292" w:type="dxa"/>
          </w:tcPr>
          <w:p w14:paraId="06F3D812" w14:textId="7F079D47" w:rsidR="001114D8" w:rsidRDefault="463814F8">
            <w:r>
              <w:t>Under 25</w:t>
            </w:r>
          </w:p>
        </w:tc>
        <w:tc>
          <w:tcPr>
            <w:tcW w:w="1226" w:type="dxa"/>
          </w:tcPr>
          <w:p w14:paraId="53B4DDA4" w14:textId="77777777" w:rsidR="001114D8" w:rsidRDefault="001114D8"/>
        </w:tc>
        <w:tc>
          <w:tcPr>
            <w:tcW w:w="1290" w:type="dxa"/>
          </w:tcPr>
          <w:p w14:paraId="285BC090" w14:textId="77777777" w:rsidR="001114D8" w:rsidRDefault="001114D8"/>
        </w:tc>
        <w:tc>
          <w:tcPr>
            <w:tcW w:w="1274" w:type="dxa"/>
          </w:tcPr>
          <w:p w14:paraId="62F720AA" w14:textId="77777777" w:rsidR="001114D8" w:rsidRDefault="001114D8"/>
        </w:tc>
        <w:tc>
          <w:tcPr>
            <w:tcW w:w="1800" w:type="dxa"/>
          </w:tcPr>
          <w:p w14:paraId="2F91202D" w14:textId="77777777" w:rsidR="001114D8" w:rsidRDefault="001114D8"/>
        </w:tc>
        <w:tc>
          <w:tcPr>
            <w:tcW w:w="1659" w:type="dxa"/>
          </w:tcPr>
          <w:p w14:paraId="6D8C35DD" w14:textId="77777777" w:rsidR="001114D8" w:rsidRDefault="001114D8"/>
        </w:tc>
      </w:tr>
      <w:tr w:rsidR="001114D8" w14:paraId="6A210522" w14:textId="77777777" w:rsidTr="00372C1A">
        <w:trPr>
          <w:trHeight w:val="280"/>
        </w:trPr>
        <w:tc>
          <w:tcPr>
            <w:tcW w:w="1292" w:type="dxa"/>
          </w:tcPr>
          <w:p w14:paraId="5FB14806" w14:textId="5DC9CB98" w:rsidR="001114D8" w:rsidRDefault="52C77941">
            <w:r>
              <w:t>Under 60</w:t>
            </w:r>
          </w:p>
        </w:tc>
        <w:tc>
          <w:tcPr>
            <w:tcW w:w="1226" w:type="dxa"/>
          </w:tcPr>
          <w:p w14:paraId="2F24FE20" w14:textId="77777777" w:rsidR="001114D8" w:rsidRDefault="001114D8"/>
        </w:tc>
        <w:tc>
          <w:tcPr>
            <w:tcW w:w="1290" w:type="dxa"/>
          </w:tcPr>
          <w:p w14:paraId="60F96F8B" w14:textId="77777777" w:rsidR="001114D8" w:rsidRDefault="001114D8"/>
        </w:tc>
        <w:tc>
          <w:tcPr>
            <w:tcW w:w="1274" w:type="dxa"/>
          </w:tcPr>
          <w:p w14:paraId="5C391783" w14:textId="77777777" w:rsidR="001114D8" w:rsidRDefault="001114D8"/>
        </w:tc>
        <w:tc>
          <w:tcPr>
            <w:tcW w:w="1800" w:type="dxa"/>
          </w:tcPr>
          <w:p w14:paraId="0327870A" w14:textId="77777777" w:rsidR="001114D8" w:rsidRDefault="001114D8"/>
        </w:tc>
        <w:tc>
          <w:tcPr>
            <w:tcW w:w="1659" w:type="dxa"/>
          </w:tcPr>
          <w:p w14:paraId="1E742E4D" w14:textId="77777777" w:rsidR="001114D8" w:rsidRDefault="001114D8"/>
        </w:tc>
      </w:tr>
      <w:tr w:rsidR="001114D8" w14:paraId="0B3C3EB3" w14:textId="77777777" w:rsidTr="00372C1A">
        <w:trPr>
          <w:trHeight w:val="296"/>
        </w:trPr>
        <w:tc>
          <w:tcPr>
            <w:tcW w:w="1292" w:type="dxa"/>
          </w:tcPr>
          <w:p w14:paraId="0FCECCEF" w14:textId="77777777" w:rsidR="001114D8" w:rsidRDefault="001114D8">
            <w:r>
              <w:t>SEMI</w:t>
            </w:r>
          </w:p>
        </w:tc>
        <w:tc>
          <w:tcPr>
            <w:tcW w:w="1226" w:type="dxa"/>
          </w:tcPr>
          <w:p w14:paraId="0B98AFAA" w14:textId="77777777" w:rsidR="001114D8" w:rsidRDefault="001114D8"/>
        </w:tc>
        <w:tc>
          <w:tcPr>
            <w:tcW w:w="1290" w:type="dxa"/>
          </w:tcPr>
          <w:p w14:paraId="07D90DEC" w14:textId="77777777" w:rsidR="001114D8" w:rsidRDefault="001114D8"/>
        </w:tc>
        <w:tc>
          <w:tcPr>
            <w:tcW w:w="1274" w:type="dxa"/>
          </w:tcPr>
          <w:p w14:paraId="2CF7BED3" w14:textId="77777777" w:rsidR="001114D8" w:rsidRDefault="001114D8"/>
        </w:tc>
        <w:tc>
          <w:tcPr>
            <w:tcW w:w="1800" w:type="dxa"/>
          </w:tcPr>
          <w:p w14:paraId="07274FE5" w14:textId="77777777" w:rsidR="001114D8" w:rsidRDefault="001114D8"/>
        </w:tc>
        <w:tc>
          <w:tcPr>
            <w:tcW w:w="1659" w:type="dxa"/>
          </w:tcPr>
          <w:p w14:paraId="0A30BFD7" w14:textId="77777777" w:rsidR="001114D8" w:rsidRDefault="001114D8"/>
        </w:tc>
      </w:tr>
      <w:tr w:rsidR="001114D8" w14:paraId="445AD6A5" w14:textId="77777777" w:rsidTr="00372C1A">
        <w:trPr>
          <w:trHeight w:val="280"/>
        </w:trPr>
        <w:tc>
          <w:tcPr>
            <w:tcW w:w="1292" w:type="dxa"/>
          </w:tcPr>
          <w:p w14:paraId="213E1738" w14:textId="77777777" w:rsidR="001114D8" w:rsidRDefault="001114D8">
            <w:r>
              <w:t>NZDep Q5</w:t>
            </w:r>
          </w:p>
        </w:tc>
        <w:tc>
          <w:tcPr>
            <w:tcW w:w="1226" w:type="dxa"/>
          </w:tcPr>
          <w:p w14:paraId="660D900A" w14:textId="77777777" w:rsidR="001114D8" w:rsidRDefault="001114D8"/>
        </w:tc>
        <w:tc>
          <w:tcPr>
            <w:tcW w:w="1290" w:type="dxa"/>
          </w:tcPr>
          <w:p w14:paraId="281C0F1E" w14:textId="77777777" w:rsidR="001114D8" w:rsidRDefault="001114D8"/>
        </w:tc>
        <w:tc>
          <w:tcPr>
            <w:tcW w:w="1274" w:type="dxa"/>
          </w:tcPr>
          <w:p w14:paraId="577CB8C8" w14:textId="77777777" w:rsidR="001114D8" w:rsidRDefault="001114D8"/>
        </w:tc>
        <w:tc>
          <w:tcPr>
            <w:tcW w:w="1800" w:type="dxa"/>
          </w:tcPr>
          <w:p w14:paraId="60A766EE" w14:textId="77777777" w:rsidR="001114D8" w:rsidRDefault="001114D8"/>
        </w:tc>
        <w:tc>
          <w:tcPr>
            <w:tcW w:w="1659" w:type="dxa"/>
          </w:tcPr>
          <w:p w14:paraId="11249AFF" w14:textId="77777777" w:rsidR="001114D8" w:rsidRDefault="001114D8"/>
        </w:tc>
      </w:tr>
      <w:tr w:rsidR="727CE75B" w14:paraId="3C4A9D68" w14:textId="77777777" w:rsidTr="00372C1A">
        <w:trPr>
          <w:trHeight w:val="280"/>
        </w:trPr>
        <w:tc>
          <w:tcPr>
            <w:tcW w:w="1292" w:type="dxa"/>
          </w:tcPr>
          <w:p w14:paraId="61E05964" w14:textId="179B54FC" w:rsidR="727CE75B" w:rsidRDefault="7C48BAB0">
            <w:r>
              <w:t>Total</w:t>
            </w:r>
            <w:r w:rsidR="17755822">
              <w:t xml:space="preserve"> in Practice</w:t>
            </w:r>
          </w:p>
        </w:tc>
        <w:tc>
          <w:tcPr>
            <w:tcW w:w="1226" w:type="dxa"/>
          </w:tcPr>
          <w:p w14:paraId="740BDB56" w14:textId="77777777" w:rsidR="727CE75B" w:rsidRDefault="727CE75B"/>
        </w:tc>
        <w:tc>
          <w:tcPr>
            <w:tcW w:w="1290" w:type="dxa"/>
          </w:tcPr>
          <w:p w14:paraId="60E1A972" w14:textId="77777777" w:rsidR="727CE75B" w:rsidRDefault="727CE75B"/>
        </w:tc>
        <w:tc>
          <w:tcPr>
            <w:tcW w:w="1274" w:type="dxa"/>
          </w:tcPr>
          <w:p w14:paraId="1ED8F31C" w14:textId="77777777" w:rsidR="727CE75B" w:rsidRDefault="727CE75B"/>
        </w:tc>
        <w:tc>
          <w:tcPr>
            <w:tcW w:w="1800" w:type="dxa"/>
          </w:tcPr>
          <w:p w14:paraId="4B61552A" w14:textId="77777777" w:rsidR="727CE75B" w:rsidRDefault="727CE75B"/>
        </w:tc>
        <w:tc>
          <w:tcPr>
            <w:tcW w:w="1659" w:type="dxa"/>
          </w:tcPr>
          <w:p w14:paraId="5435610F" w14:textId="77777777" w:rsidR="727CE75B" w:rsidRDefault="727CE75B"/>
        </w:tc>
      </w:tr>
    </w:tbl>
    <w:p w14:paraId="1089F3CF" w14:textId="77777777" w:rsidR="001114D8" w:rsidRDefault="001114D8"/>
    <w:p w14:paraId="4FF801FB" w14:textId="77777777" w:rsidR="00692B8A" w:rsidRDefault="00692B8A" w:rsidP="00692B8A">
      <w:r>
        <w:lastRenderedPageBreak/>
        <w:t xml:space="preserve">CONIFRMED = HbA1c &gt;= 53:(single reading) or HbA1c 48–52, 2+ readings &gt;= 48 </w:t>
      </w:r>
    </w:p>
    <w:p w14:paraId="7870EC12" w14:textId="77777777" w:rsidR="00692B8A" w:rsidRDefault="00692B8A" w:rsidP="00692B8A">
      <w:r>
        <w:t>UNCONFIRMED= HbA1c 48–52, only 1 reading &gt;= 48: Needs repeat</w:t>
      </w:r>
    </w:p>
    <w:p w14:paraId="54F0B0FB" w14:textId="4F7D2B7E" w:rsidR="006F6420" w:rsidRDefault="00692B8A">
      <w:r>
        <w:t>TOTAL UNCLASSIFIED = total confirmed and unconfirmed</w:t>
      </w:r>
    </w:p>
    <w:p w14:paraId="30C26CA5" w14:textId="77777777" w:rsidR="006F6420" w:rsidRDefault="00041D25">
      <w:r>
        <w:rPr>
          <w:i/>
        </w:rPr>
        <w:t>NZ European is included as a reference comparator for equity analysis.</w:t>
      </w:r>
    </w:p>
    <w:p w14:paraId="2DCEB927" w14:textId="77777777" w:rsidR="006F6420" w:rsidRDefault="00041D25">
      <w:r>
        <w:t>──────────────────────────────────────────────────</w:t>
      </w:r>
    </w:p>
    <w:p w14:paraId="6EA1E462" w14:textId="6E005F8F" w:rsidR="006F6420" w:rsidRPr="001B3A78" w:rsidRDefault="00692B8A">
      <w:pPr>
        <w:rPr>
          <w:b/>
        </w:rPr>
      </w:pPr>
      <w:r>
        <w:rPr>
          <w:b/>
        </w:rPr>
        <w:br w:type="page"/>
      </w:r>
      <w:r w:rsidR="4E43169A" w:rsidRPr="727CE75B">
        <w:rPr>
          <w:b/>
          <w:bCs/>
        </w:rPr>
        <w:lastRenderedPageBreak/>
        <w:t>Table 2. HbA1c Distribution</w:t>
      </w:r>
      <w:r w:rsidR="39EE206F" w:rsidRPr="727CE75B">
        <w:rPr>
          <w:b/>
          <w:bCs/>
        </w:rPr>
        <w:t xml:space="preserve"> and Equity Context</w:t>
      </w:r>
      <w:r w:rsidR="4E43169A" w:rsidRPr="727CE75B">
        <w:rPr>
          <w:b/>
          <w:bCs/>
        </w:rPr>
        <w:t xml:space="preserve">: </w:t>
      </w:r>
      <w:r w:rsidR="39EE206F" w:rsidRPr="727CE75B">
        <w:rPr>
          <w:b/>
          <w:bCs/>
        </w:rPr>
        <w:t>Audit population</w:t>
      </w:r>
      <w:r w:rsidR="1AE1B6AE" w:rsidRPr="727CE75B">
        <w:rPr>
          <w:b/>
          <w:bCs/>
        </w:rPr>
        <w:t xml:space="preserve"> for a</w:t>
      </w:r>
      <w:r w:rsidR="39EE206F" w:rsidRPr="727CE75B">
        <w:rPr>
          <w:b/>
          <w:bCs/>
        </w:rPr>
        <w:t>ll</w:t>
      </w:r>
      <w:r w:rsidR="4E43169A" w:rsidRPr="727CE75B">
        <w:rPr>
          <w:b/>
          <w:bCs/>
        </w:rPr>
        <w:t xml:space="preserve"> T2D Patients</w:t>
      </w:r>
    </w:p>
    <w:p w14:paraId="28704B9A" w14:textId="77777777" w:rsidR="00692B8A" w:rsidRDefault="00692B8A" w:rsidP="00692B8A">
      <w:pPr>
        <w:rPr>
          <w:i/>
        </w:rPr>
      </w:pPr>
      <w:r>
        <w:rPr>
          <w:i/>
        </w:rPr>
        <w:t>Fill out these tables after ensuring all new patients with diabetes have diabetes codes.</w:t>
      </w:r>
    </w:p>
    <w:tbl>
      <w:tblPr>
        <w:tblStyle w:val="TableGrid"/>
        <w:tblW w:w="0" w:type="auto"/>
        <w:tblLook w:val="04A0" w:firstRow="1" w:lastRow="0" w:firstColumn="1" w:lastColumn="0" w:noHBand="0" w:noVBand="1"/>
      </w:tblPr>
      <w:tblGrid>
        <w:gridCol w:w="1726"/>
        <w:gridCol w:w="1726"/>
        <w:gridCol w:w="1726"/>
        <w:gridCol w:w="1726"/>
        <w:gridCol w:w="1726"/>
      </w:tblGrid>
      <w:tr w:rsidR="00692B8A" w14:paraId="7CD5C4FC" w14:textId="77777777" w:rsidTr="1F7060C7">
        <w:tc>
          <w:tcPr>
            <w:tcW w:w="1728" w:type="dxa"/>
          </w:tcPr>
          <w:p w14:paraId="50806769" w14:textId="77777777" w:rsidR="00692B8A" w:rsidRDefault="00692B8A">
            <w:r>
              <w:rPr>
                <w:b/>
              </w:rPr>
              <w:t>Group</w:t>
            </w:r>
          </w:p>
        </w:tc>
        <w:tc>
          <w:tcPr>
            <w:tcW w:w="1728" w:type="dxa"/>
          </w:tcPr>
          <w:p w14:paraId="690BF6F1" w14:textId="7214E687" w:rsidR="00692B8A" w:rsidRDefault="39EE206F">
            <w:r w:rsidRPr="727CE75B">
              <w:rPr>
                <w:b/>
                <w:bCs/>
              </w:rPr>
              <w:t>Practice Pop (n)</w:t>
            </w:r>
          </w:p>
        </w:tc>
        <w:tc>
          <w:tcPr>
            <w:tcW w:w="1728" w:type="dxa"/>
          </w:tcPr>
          <w:p w14:paraId="0B0D668D" w14:textId="77777777" w:rsidR="00692B8A" w:rsidRDefault="00692B8A">
            <w:r>
              <w:rPr>
                <w:b/>
              </w:rPr>
              <w:t>T2D Patients (n)</w:t>
            </w:r>
          </w:p>
        </w:tc>
        <w:tc>
          <w:tcPr>
            <w:tcW w:w="1728" w:type="dxa"/>
          </w:tcPr>
          <w:p w14:paraId="1C23F163" w14:textId="08090767" w:rsidR="00692B8A" w:rsidRDefault="39EE206F" w:rsidP="727CE75B">
            <w:pPr>
              <w:rPr>
                <w:b/>
                <w:bCs/>
              </w:rPr>
            </w:pPr>
            <w:r w:rsidRPr="727CE75B">
              <w:rPr>
                <w:b/>
                <w:bCs/>
              </w:rPr>
              <w:t>T2D</w:t>
            </w:r>
            <w:r w:rsidR="6AE9453D" w:rsidRPr="727CE75B">
              <w:rPr>
                <w:b/>
                <w:bCs/>
              </w:rPr>
              <w:t xml:space="preserve"> patients (%)</w:t>
            </w:r>
          </w:p>
        </w:tc>
        <w:tc>
          <w:tcPr>
            <w:tcW w:w="1728" w:type="dxa"/>
          </w:tcPr>
          <w:p w14:paraId="29F0255A" w14:textId="5D6DB875" w:rsidR="00692B8A" w:rsidRDefault="3BA85219" w:rsidP="727CE75B">
            <w:pPr>
              <w:rPr>
                <w:rFonts w:eastAsia="Calibri" w:cs="Calibri"/>
                <w:b/>
                <w:bCs/>
              </w:rPr>
            </w:pPr>
            <w:r w:rsidRPr="727CE75B">
              <w:rPr>
                <w:b/>
                <w:bCs/>
              </w:rPr>
              <w:t xml:space="preserve"> Equity Gap (±5% relative)</w:t>
            </w:r>
          </w:p>
        </w:tc>
      </w:tr>
      <w:tr w:rsidR="00692B8A" w14:paraId="0C3E4F60" w14:textId="77777777" w:rsidTr="1F7060C7">
        <w:tc>
          <w:tcPr>
            <w:tcW w:w="1728" w:type="dxa"/>
          </w:tcPr>
          <w:p w14:paraId="2FF2E8D7" w14:textId="51F28831" w:rsidR="00692B8A" w:rsidRDefault="39EE206F">
            <w:r>
              <w:t xml:space="preserve">NZ European </w:t>
            </w:r>
            <w:r w:rsidR="55704035">
              <w:t>(Reference)</w:t>
            </w:r>
          </w:p>
        </w:tc>
        <w:tc>
          <w:tcPr>
            <w:tcW w:w="1728" w:type="dxa"/>
          </w:tcPr>
          <w:p w14:paraId="14DB4C29" w14:textId="77777777" w:rsidR="00692B8A" w:rsidRDefault="00692B8A"/>
        </w:tc>
        <w:tc>
          <w:tcPr>
            <w:tcW w:w="1728" w:type="dxa"/>
          </w:tcPr>
          <w:p w14:paraId="3C058262" w14:textId="77777777" w:rsidR="00692B8A" w:rsidRDefault="00692B8A"/>
        </w:tc>
        <w:tc>
          <w:tcPr>
            <w:tcW w:w="1728" w:type="dxa"/>
          </w:tcPr>
          <w:p w14:paraId="3A67BA00" w14:textId="77777777" w:rsidR="00692B8A" w:rsidRDefault="00692B8A"/>
        </w:tc>
        <w:tc>
          <w:tcPr>
            <w:tcW w:w="1728" w:type="dxa"/>
          </w:tcPr>
          <w:p w14:paraId="38576805" w14:textId="77777777" w:rsidR="00692B8A" w:rsidRDefault="00692B8A">
            <w:r>
              <w:t>Reference</w:t>
            </w:r>
          </w:p>
        </w:tc>
      </w:tr>
      <w:tr w:rsidR="00692B8A" w14:paraId="59C3EBF7" w14:textId="77777777" w:rsidTr="1F7060C7">
        <w:tc>
          <w:tcPr>
            <w:tcW w:w="1728" w:type="dxa"/>
          </w:tcPr>
          <w:p w14:paraId="4D77DB42" w14:textId="77777777" w:rsidR="00692B8A" w:rsidRDefault="00692B8A">
            <w:r>
              <w:t>Māori</w:t>
            </w:r>
          </w:p>
        </w:tc>
        <w:tc>
          <w:tcPr>
            <w:tcW w:w="1728" w:type="dxa"/>
          </w:tcPr>
          <w:p w14:paraId="0A235476" w14:textId="77777777" w:rsidR="00692B8A" w:rsidRDefault="00692B8A"/>
        </w:tc>
        <w:tc>
          <w:tcPr>
            <w:tcW w:w="1728" w:type="dxa"/>
          </w:tcPr>
          <w:p w14:paraId="086BF269" w14:textId="77777777" w:rsidR="00692B8A" w:rsidRDefault="00692B8A"/>
        </w:tc>
        <w:tc>
          <w:tcPr>
            <w:tcW w:w="1728" w:type="dxa"/>
          </w:tcPr>
          <w:p w14:paraId="303F5AD2" w14:textId="77777777" w:rsidR="00692B8A" w:rsidRDefault="00692B8A"/>
        </w:tc>
        <w:tc>
          <w:tcPr>
            <w:tcW w:w="1728" w:type="dxa"/>
          </w:tcPr>
          <w:p w14:paraId="098BF85E" w14:textId="77777777" w:rsidR="00692B8A" w:rsidRDefault="00692B8A">
            <w:r>
              <w:t>Higher / Lower / Similar</w:t>
            </w:r>
          </w:p>
        </w:tc>
      </w:tr>
      <w:tr w:rsidR="00692B8A" w14:paraId="2895A630" w14:textId="77777777" w:rsidTr="1F7060C7">
        <w:tc>
          <w:tcPr>
            <w:tcW w:w="1728" w:type="dxa"/>
          </w:tcPr>
          <w:p w14:paraId="4C4036F3" w14:textId="77777777" w:rsidR="00692B8A" w:rsidRDefault="00692B8A">
            <w:r>
              <w:t>Pasifika</w:t>
            </w:r>
          </w:p>
        </w:tc>
        <w:tc>
          <w:tcPr>
            <w:tcW w:w="1728" w:type="dxa"/>
          </w:tcPr>
          <w:p w14:paraId="5688E869" w14:textId="77777777" w:rsidR="00692B8A" w:rsidRDefault="00692B8A"/>
        </w:tc>
        <w:tc>
          <w:tcPr>
            <w:tcW w:w="1728" w:type="dxa"/>
          </w:tcPr>
          <w:p w14:paraId="5D48DFB5" w14:textId="77777777" w:rsidR="00692B8A" w:rsidRDefault="00692B8A"/>
        </w:tc>
        <w:tc>
          <w:tcPr>
            <w:tcW w:w="1728" w:type="dxa"/>
          </w:tcPr>
          <w:p w14:paraId="4FBAFB3E" w14:textId="77777777" w:rsidR="00692B8A" w:rsidRDefault="00692B8A"/>
        </w:tc>
        <w:tc>
          <w:tcPr>
            <w:tcW w:w="1728" w:type="dxa"/>
          </w:tcPr>
          <w:p w14:paraId="53456738" w14:textId="77777777" w:rsidR="00692B8A" w:rsidRDefault="00692B8A">
            <w:r>
              <w:t>Higher / Lower / Similar</w:t>
            </w:r>
          </w:p>
        </w:tc>
      </w:tr>
      <w:tr w:rsidR="00692B8A" w14:paraId="5A13B7A8" w14:textId="77777777" w:rsidTr="1F7060C7">
        <w:tc>
          <w:tcPr>
            <w:tcW w:w="1728" w:type="dxa"/>
          </w:tcPr>
          <w:p w14:paraId="101546EC" w14:textId="77777777" w:rsidR="00692B8A" w:rsidRDefault="00692B8A">
            <w:r>
              <w:t>Indo-Asian</w:t>
            </w:r>
          </w:p>
        </w:tc>
        <w:tc>
          <w:tcPr>
            <w:tcW w:w="1728" w:type="dxa"/>
          </w:tcPr>
          <w:p w14:paraId="1B4E8A27" w14:textId="77777777" w:rsidR="00692B8A" w:rsidRDefault="00692B8A"/>
        </w:tc>
        <w:tc>
          <w:tcPr>
            <w:tcW w:w="1728" w:type="dxa"/>
          </w:tcPr>
          <w:p w14:paraId="2F16B969" w14:textId="77777777" w:rsidR="00692B8A" w:rsidRDefault="00692B8A"/>
        </w:tc>
        <w:tc>
          <w:tcPr>
            <w:tcW w:w="1728" w:type="dxa"/>
          </w:tcPr>
          <w:p w14:paraId="15D3B050" w14:textId="77777777" w:rsidR="00692B8A" w:rsidRDefault="00692B8A"/>
        </w:tc>
        <w:tc>
          <w:tcPr>
            <w:tcW w:w="1728" w:type="dxa"/>
          </w:tcPr>
          <w:p w14:paraId="751FA541" w14:textId="77777777" w:rsidR="00692B8A" w:rsidRDefault="00692B8A">
            <w:r>
              <w:t>Higher / Lower / Similar</w:t>
            </w:r>
          </w:p>
        </w:tc>
      </w:tr>
      <w:tr w:rsidR="00692B8A" w14:paraId="469B29AE" w14:textId="77777777" w:rsidTr="1F7060C7">
        <w:tc>
          <w:tcPr>
            <w:tcW w:w="1728" w:type="dxa"/>
          </w:tcPr>
          <w:p w14:paraId="41798A6A" w14:textId="77777777" w:rsidR="00692B8A" w:rsidRDefault="00692B8A">
            <w:r>
              <w:t>Under 25 yrs</w:t>
            </w:r>
          </w:p>
        </w:tc>
        <w:tc>
          <w:tcPr>
            <w:tcW w:w="1728" w:type="dxa"/>
          </w:tcPr>
          <w:p w14:paraId="6EBFCAF0" w14:textId="77777777" w:rsidR="00692B8A" w:rsidRDefault="00692B8A"/>
        </w:tc>
        <w:tc>
          <w:tcPr>
            <w:tcW w:w="1728" w:type="dxa"/>
          </w:tcPr>
          <w:p w14:paraId="4ED94F80" w14:textId="77777777" w:rsidR="00692B8A" w:rsidRDefault="00692B8A"/>
        </w:tc>
        <w:tc>
          <w:tcPr>
            <w:tcW w:w="1728" w:type="dxa"/>
          </w:tcPr>
          <w:p w14:paraId="01CBB426" w14:textId="77777777" w:rsidR="00692B8A" w:rsidRDefault="00692B8A"/>
        </w:tc>
        <w:tc>
          <w:tcPr>
            <w:tcW w:w="1728" w:type="dxa"/>
          </w:tcPr>
          <w:p w14:paraId="7ECAD6B0" w14:textId="77777777" w:rsidR="00692B8A" w:rsidRDefault="00692B8A">
            <w:r>
              <w:t>Higher / Lower / Similar</w:t>
            </w:r>
          </w:p>
        </w:tc>
      </w:tr>
      <w:tr w:rsidR="00692B8A" w14:paraId="4F480DD3" w14:textId="77777777" w:rsidTr="1F7060C7">
        <w:tc>
          <w:tcPr>
            <w:tcW w:w="1728" w:type="dxa"/>
          </w:tcPr>
          <w:p w14:paraId="499ADFD6" w14:textId="77777777" w:rsidR="00692B8A" w:rsidRDefault="00692B8A">
            <w:r>
              <w:t>Under 60 yrs</w:t>
            </w:r>
          </w:p>
        </w:tc>
        <w:tc>
          <w:tcPr>
            <w:tcW w:w="1728" w:type="dxa"/>
          </w:tcPr>
          <w:p w14:paraId="5589F699" w14:textId="77777777" w:rsidR="00692B8A" w:rsidRDefault="00692B8A"/>
        </w:tc>
        <w:tc>
          <w:tcPr>
            <w:tcW w:w="1728" w:type="dxa"/>
          </w:tcPr>
          <w:p w14:paraId="28C62DF7" w14:textId="77777777" w:rsidR="00692B8A" w:rsidRDefault="00692B8A"/>
        </w:tc>
        <w:tc>
          <w:tcPr>
            <w:tcW w:w="1728" w:type="dxa"/>
          </w:tcPr>
          <w:p w14:paraId="55DE2329" w14:textId="77777777" w:rsidR="00692B8A" w:rsidRDefault="00692B8A"/>
        </w:tc>
        <w:tc>
          <w:tcPr>
            <w:tcW w:w="1728" w:type="dxa"/>
          </w:tcPr>
          <w:p w14:paraId="45F7D235" w14:textId="77777777" w:rsidR="00692B8A" w:rsidRDefault="00692B8A">
            <w:r>
              <w:t>Higher / Lower / Similar</w:t>
            </w:r>
          </w:p>
        </w:tc>
      </w:tr>
      <w:tr w:rsidR="00692B8A" w14:paraId="6DA18859" w14:textId="77777777" w:rsidTr="1F7060C7">
        <w:tc>
          <w:tcPr>
            <w:tcW w:w="1728" w:type="dxa"/>
          </w:tcPr>
          <w:p w14:paraId="1A4737F0" w14:textId="77777777" w:rsidR="00692B8A" w:rsidRDefault="00692B8A">
            <w:r>
              <w:t>SEMI</w:t>
            </w:r>
          </w:p>
        </w:tc>
        <w:tc>
          <w:tcPr>
            <w:tcW w:w="1728" w:type="dxa"/>
          </w:tcPr>
          <w:p w14:paraId="3939B553" w14:textId="77777777" w:rsidR="00692B8A" w:rsidRDefault="00692B8A"/>
        </w:tc>
        <w:tc>
          <w:tcPr>
            <w:tcW w:w="1728" w:type="dxa"/>
          </w:tcPr>
          <w:p w14:paraId="75EE0166" w14:textId="77777777" w:rsidR="00692B8A" w:rsidRDefault="00692B8A"/>
        </w:tc>
        <w:tc>
          <w:tcPr>
            <w:tcW w:w="1728" w:type="dxa"/>
          </w:tcPr>
          <w:p w14:paraId="46B89480" w14:textId="77777777" w:rsidR="00692B8A" w:rsidRDefault="00692B8A"/>
        </w:tc>
        <w:tc>
          <w:tcPr>
            <w:tcW w:w="1728" w:type="dxa"/>
          </w:tcPr>
          <w:p w14:paraId="3225C273" w14:textId="77777777" w:rsidR="00692B8A" w:rsidRDefault="00692B8A">
            <w:r>
              <w:t>Higher / Lower / Similar</w:t>
            </w:r>
          </w:p>
        </w:tc>
      </w:tr>
      <w:tr w:rsidR="00692B8A" w14:paraId="0E247711" w14:textId="77777777" w:rsidTr="1F7060C7">
        <w:tc>
          <w:tcPr>
            <w:tcW w:w="1728" w:type="dxa"/>
          </w:tcPr>
          <w:p w14:paraId="68F89E9D" w14:textId="77777777" w:rsidR="00692B8A" w:rsidRDefault="00692B8A">
            <w:r>
              <w:t>NZDep Q5</w:t>
            </w:r>
          </w:p>
        </w:tc>
        <w:tc>
          <w:tcPr>
            <w:tcW w:w="1728" w:type="dxa"/>
          </w:tcPr>
          <w:p w14:paraId="24E9D69C" w14:textId="77777777" w:rsidR="00692B8A" w:rsidRDefault="00692B8A"/>
        </w:tc>
        <w:tc>
          <w:tcPr>
            <w:tcW w:w="1728" w:type="dxa"/>
          </w:tcPr>
          <w:p w14:paraId="39DAF5E4" w14:textId="77777777" w:rsidR="00692B8A" w:rsidRDefault="00692B8A"/>
        </w:tc>
        <w:tc>
          <w:tcPr>
            <w:tcW w:w="1728" w:type="dxa"/>
          </w:tcPr>
          <w:p w14:paraId="2017EFCA" w14:textId="77777777" w:rsidR="00692B8A" w:rsidRDefault="00692B8A"/>
        </w:tc>
        <w:tc>
          <w:tcPr>
            <w:tcW w:w="1728" w:type="dxa"/>
          </w:tcPr>
          <w:p w14:paraId="5156E88E" w14:textId="77777777" w:rsidR="00692B8A" w:rsidRDefault="00692B8A">
            <w:r>
              <w:t>Higher / Lower / Similar</w:t>
            </w:r>
          </w:p>
        </w:tc>
      </w:tr>
      <w:tr w:rsidR="00692B8A" w14:paraId="47234C37" w14:textId="77777777" w:rsidTr="1F7060C7">
        <w:tc>
          <w:tcPr>
            <w:tcW w:w="1728" w:type="dxa"/>
          </w:tcPr>
          <w:p w14:paraId="08A2CC59" w14:textId="39F3B5AA" w:rsidR="00692B8A" w:rsidRDefault="00692B8A">
            <w:commentRangeStart w:id="0"/>
            <w:commentRangeEnd w:id="0"/>
            <w:r>
              <w:rPr>
                <w:rStyle w:val="CommentReference"/>
                <w:sz w:val="22"/>
                <w:szCs w:val="22"/>
              </w:rPr>
              <w:commentReference w:id="0"/>
            </w:r>
            <w:r w:rsidR="14926B1A">
              <w:t xml:space="preserve"> Total in Practice</w:t>
            </w:r>
          </w:p>
          <w:p w14:paraId="27F874BC" w14:textId="5A5B6BE7" w:rsidR="00692B8A" w:rsidRDefault="00692B8A"/>
        </w:tc>
        <w:tc>
          <w:tcPr>
            <w:tcW w:w="1728" w:type="dxa"/>
          </w:tcPr>
          <w:p w14:paraId="01A31490" w14:textId="77777777" w:rsidR="00692B8A" w:rsidRDefault="00692B8A"/>
        </w:tc>
        <w:tc>
          <w:tcPr>
            <w:tcW w:w="1728" w:type="dxa"/>
          </w:tcPr>
          <w:p w14:paraId="685877A1" w14:textId="77777777" w:rsidR="00692B8A" w:rsidRDefault="00692B8A"/>
        </w:tc>
        <w:tc>
          <w:tcPr>
            <w:tcW w:w="1728" w:type="dxa"/>
          </w:tcPr>
          <w:p w14:paraId="24F258D9" w14:textId="77777777" w:rsidR="00692B8A" w:rsidRDefault="00692B8A"/>
        </w:tc>
        <w:tc>
          <w:tcPr>
            <w:tcW w:w="1728" w:type="dxa"/>
          </w:tcPr>
          <w:p w14:paraId="0047375B" w14:textId="558D08AF" w:rsidR="00692B8A" w:rsidRDefault="3F09CE96">
            <w:r>
              <w:t xml:space="preserve"> Higher / Lower / Similar</w:t>
            </w:r>
          </w:p>
        </w:tc>
      </w:tr>
    </w:tbl>
    <w:p w14:paraId="5D56B975" w14:textId="38A6D0F3" w:rsidR="00692B8A" w:rsidRDefault="00692B8A">
      <w:pPr>
        <w:rPr>
          <w:b/>
        </w:rPr>
      </w:pPr>
    </w:p>
    <w:p w14:paraId="4B0E2461" w14:textId="53BB5A59" w:rsidR="00692B8A" w:rsidRDefault="00692B8A" w:rsidP="1F7060C7">
      <w:pPr>
        <w:rPr>
          <w:b/>
          <w:bCs/>
        </w:rPr>
      </w:pPr>
      <w:r w:rsidRPr="1F7060C7">
        <w:rPr>
          <w:b/>
          <w:bCs/>
        </w:rPr>
        <w:t>Table 3. HbA1c levels</w:t>
      </w:r>
      <w:r w:rsidR="18395846" w:rsidRPr="1F7060C7">
        <w:rPr>
          <w:b/>
          <w:bCs/>
        </w:rPr>
        <w:t xml:space="preserve"> (mmol/mol)</w:t>
      </w:r>
      <w:r w:rsidRPr="1F7060C7">
        <w:rPr>
          <w:b/>
          <w:bCs/>
        </w:rPr>
        <w:t xml:space="preserve"> in T2D Patients</w:t>
      </w:r>
      <w:r w:rsidR="00BD6A61" w:rsidRPr="1F7060C7">
        <w:rPr>
          <w:b/>
          <w:bCs/>
        </w:rPr>
        <w:t xml:space="preserve"> - </w:t>
      </w:r>
      <w:r w:rsidR="54275A9E" w:rsidRPr="1F7060C7">
        <w:rPr>
          <w:b/>
          <w:bCs/>
        </w:rPr>
        <w:t>N</w:t>
      </w:r>
      <w:r w:rsidR="00BD6A61" w:rsidRPr="1F7060C7">
        <w:rPr>
          <w:b/>
          <w:bCs/>
        </w:rPr>
        <w:t xml:space="preserve">umber of </w:t>
      </w:r>
      <w:r w:rsidR="59A92AE9" w:rsidRPr="1F7060C7">
        <w:rPr>
          <w:b/>
          <w:bCs/>
        </w:rPr>
        <w:t>P</w:t>
      </w:r>
      <w:r w:rsidR="00BD6A61" w:rsidRPr="1F7060C7">
        <w:rPr>
          <w:b/>
          <w:bCs/>
        </w:rPr>
        <w:t>atients</w:t>
      </w:r>
    </w:p>
    <w:tbl>
      <w:tblPr>
        <w:tblStyle w:val="TableGrid"/>
        <w:tblW w:w="0" w:type="auto"/>
        <w:tblLook w:val="04A0" w:firstRow="1" w:lastRow="0" w:firstColumn="1" w:lastColumn="0" w:noHBand="0" w:noVBand="1"/>
      </w:tblPr>
      <w:tblGrid>
        <w:gridCol w:w="1319"/>
        <w:gridCol w:w="1272"/>
        <w:gridCol w:w="1272"/>
        <w:gridCol w:w="1272"/>
        <w:gridCol w:w="1272"/>
        <w:gridCol w:w="1272"/>
      </w:tblGrid>
      <w:tr w:rsidR="001C7C23" w14:paraId="11CE3275" w14:textId="77777777" w:rsidTr="1F7060C7">
        <w:trPr>
          <w:trHeight w:val="1114"/>
        </w:trPr>
        <w:tc>
          <w:tcPr>
            <w:tcW w:w="1272" w:type="dxa"/>
          </w:tcPr>
          <w:p w14:paraId="6DF537EA" w14:textId="77777777" w:rsidR="001C7C23" w:rsidRDefault="001C7C23">
            <w:r>
              <w:rPr>
                <w:b/>
              </w:rPr>
              <w:t>Population Group</w:t>
            </w:r>
          </w:p>
        </w:tc>
        <w:tc>
          <w:tcPr>
            <w:tcW w:w="1272" w:type="dxa"/>
          </w:tcPr>
          <w:p w14:paraId="736F0564" w14:textId="5585EAF0" w:rsidR="001C7C23" w:rsidRDefault="001C7C23">
            <w:r w:rsidRPr="1F7060C7">
              <w:rPr>
                <w:b/>
                <w:bCs/>
              </w:rPr>
              <w:t>HbA1c 48–52  (</w:t>
            </w:r>
            <w:r w:rsidR="00BD6A61" w:rsidRPr="1F7060C7">
              <w:rPr>
                <w:b/>
                <w:bCs/>
              </w:rPr>
              <w:t>n)</w:t>
            </w:r>
          </w:p>
        </w:tc>
        <w:tc>
          <w:tcPr>
            <w:tcW w:w="1272" w:type="dxa"/>
          </w:tcPr>
          <w:p w14:paraId="052EB110" w14:textId="54F002A1" w:rsidR="001C7C23" w:rsidRDefault="001C7C23">
            <w:r w:rsidRPr="1F7060C7">
              <w:rPr>
                <w:b/>
                <w:bCs/>
              </w:rPr>
              <w:t xml:space="preserve">HbA1c </w:t>
            </w:r>
            <w:r w:rsidR="043252C9" w:rsidRPr="1F7060C7">
              <w:rPr>
                <w:b/>
                <w:bCs/>
              </w:rPr>
              <w:t xml:space="preserve"> ≥</w:t>
            </w:r>
            <w:r w:rsidRPr="1F7060C7">
              <w:rPr>
                <w:b/>
                <w:bCs/>
              </w:rPr>
              <w:t>53  (</w:t>
            </w:r>
            <w:r w:rsidR="00BD6A61" w:rsidRPr="1F7060C7">
              <w:rPr>
                <w:b/>
                <w:bCs/>
              </w:rPr>
              <w:t>n</w:t>
            </w:r>
            <w:r w:rsidRPr="1F7060C7">
              <w:rPr>
                <w:b/>
                <w:bCs/>
              </w:rPr>
              <w:t>)</w:t>
            </w:r>
          </w:p>
        </w:tc>
        <w:tc>
          <w:tcPr>
            <w:tcW w:w="1272" w:type="dxa"/>
          </w:tcPr>
          <w:p w14:paraId="6B4B5D4B" w14:textId="16A1AE30" w:rsidR="001C7C23" w:rsidRDefault="001C7C23">
            <w:r w:rsidRPr="1F7060C7">
              <w:rPr>
                <w:b/>
                <w:bCs/>
              </w:rPr>
              <w:t>HbA1c &gt;64  (</w:t>
            </w:r>
            <w:r w:rsidR="00BD6A61" w:rsidRPr="1F7060C7">
              <w:rPr>
                <w:b/>
                <w:bCs/>
              </w:rPr>
              <w:t>n</w:t>
            </w:r>
            <w:r w:rsidRPr="1F7060C7">
              <w:rPr>
                <w:b/>
                <w:bCs/>
              </w:rPr>
              <w:t>)</w:t>
            </w:r>
          </w:p>
        </w:tc>
        <w:tc>
          <w:tcPr>
            <w:tcW w:w="1272" w:type="dxa"/>
          </w:tcPr>
          <w:p w14:paraId="45470613" w14:textId="53A416CB" w:rsidR="001C7C23" w:rsidRDefault="001C7C23">
            <w:r w:rsidRPr="1F7060C7">
              <w:rPr>
                <w:b/>
                <w:bCs/>
              </w:rPr>
              <w:t>No HbA1c last 12 months (</w:t>
            </w:r>
            <w:r w:rsidR="00BD6A61" w:rsidRPr="1F7060C7">
              <w:rPr>
                <w:b/>
                <w:bCs/>
              </w:rPr>
              <w:t>n</w:t>
            </w:r>
            <w:r w:rsidRPr="1F7060C7">
              <w:rPr>
                <w:b/>
                <w:bCs/>
              </w:rPr>
              <w:t>)</w:t>
            </w:r>
          </w:p>
        </w:tc>
        <w:tc>
          <w:tcPr>
            <w:tcW w:w="1272" w:type="dxa"/>
          </w:tcPr>
          <w:p w14:paraId="50C0DC3F" w14:textId="1F01B09E" w:rsidR="001C7C23" w:rsidRDefault="0432E04F">
            <w:pPr>
              <w:rPr>
                <w:b/>
                <w:bCs/>
              </w:rPr>
            </w:pPr>
            <w:r w:rsidRPr="1F7060C7">
              <w:rPr>
                <w:b/>
                <w:bCs/>
              </w:rPr>
              <w:t>T2D Patients</w:t>
            </w:r>
            <w:r w:rsidR="00BD6A61" w:rsidRPr="1F7060C7">
              <w:rPr>
                <w:b/>
                <w:bCs/>
              </w:rPr>
              <w:t xml:space="preserve"> (n)</w:t>
            </w:r>
          </w:p>
        </w:tc>
      </w:tr>
      <w:tr w:rsidR="001C7C23" w14:paraId="42A469CF" w14:textId="77777777" w:rsidTr="1F7060C7">
        <w:trPr>
          <w:trHeight w:val="562"/>
        </w:trPr>
        <w:tc>
          <w:tcPr>
            <w:tcW w:w="1272" w:type="dxa"/>
          </w:tcPr>
          <w:p w14:paraId="4583CC4B" w14:textId="17EF429F" w:rsidR="001C7C23" w:rsidRDefault="001C7C23">
            <w:r>
              <w:t>NZ Euro (</w:t>
            </w:r>
            <w:r w:rsidR="0CC85F64">
              <w:t>R</w:t>
            </w:r>
            <w:r>
              <w:t>eference)</w:t>
            </w:r>
          </w:p>
        </w:tc>
        <w:tc>
          <w:tcPr>
            <w:tcW w:w="1272" w:type="dxa"/>
          </w:tcPr>
          <w:p w14:paraId="6C41394D" w14:textId="77777777" w:rsidR="001C7C23" w:rsidRDefault="001C7C23"/>
        </w:tc>
        <w:tc>
          <w:tcPr>
            <w:tcW w:w="1272" w:type="dxa"/>
          </w:tcPr>
          <w:p w14:paraId="1D4039EF" w14:textId="77777777" w:rsidR="001C7C23" w:rsidRDefault="001C7C23"/>
        </w:tc>
        <w:tc>
          <w:tcPr>
            <w:tcW w:w="1272" w:type="dxa"/>
          </w:tcPr>
          <w:p w14:paraId="43FB3C26" w14:textId="77777777" w:rsidR="001C7C23" w:rsidRDefault="001C7C23"/>
        </w:tc>
        <w:tc>
          <w:tcPr>
            <w:tcW w:w="1272" w:type="dxa"/>
          </w:tcPr>
          <w:p w14:paraId="183F4BBC" w14:textId="77777777" w:rsidR="001C7C23" w:rsidRDefault="001C7C23"/>
        </w:tc>
        <w:tc>
          <w:tcPr>
            <w:tcW w:w="1272" w:type="dxa"/>
          </w:tcPr>
          <w:p w14:paraId="4F491B2D" w14:textId="77777777" w:rsidR="001C7C23" w:rsidRDefault="001C7C23"/>
        </w:tc>
      </w:tr>
      <w:tr w:rsidR="001C7C23" w14:paraId="186918A8" w14:textId="77777777" w:rsidTr="1F7060C7">
        <w:trPr>
          <w:trHeight w:val="281"/>
        </w:trPr>
        <w:tc>
          <w:tcPr>
            <w:tcW w:w="1272" w:type="dxa"/>
          </w:tcPr>
          <w:p w14:paraId="387C0995" w14:textId="77777777" w:rsidR="001C7C23" w:rsidRDefault="001C7C23">
            <w:r>
              <w:t>Māori</w:t>
            </w:r>
          </w:p>
        </w:tc>
        <w:tc>
          <w:tcPr>
            <w:tcW w:w="1272" w:type="dxa"/>
          </w:tcPr>
          <w:p w14:paraId="09887BBD" w14:textId="77777777" w:rsidR="001C7C23" w:rsidRDefault="001C7C23"/>
        </w:tc>
        <w:tc>
          <w:tcPr>
            <w:tcW w:w="1272" w:type="dxa"/>
          </w:tcPr>
          <w:p w14:paraId="53FFB6A2" w14:textId="77777777" w:rsidR="001C7C23" w:rsidRDefault="001C7C23"/>
        </w:tc>
        <w:tc>
          <w:tcPr>
            <w:tcW w:w="1272" w:type="dxa"/>
          </w:tcPr>
          <w:p w14:paraId="140E4ECE" w14:textId="77777777" w:rsidR="001C7C23" w:rsidRDefault="001C7C23"/>
        </w:tc>
        <w:tc>
          <w:tcPr>
            <w:tcW w:w="1272" w:type="dxa"/>
          </w:tcPr>
          <w:p w14:paraId="03F1E22C" w14:textId="77777777" w:rsidR="001C7C23" w:rsidRDefault="001C7C23"/>
        </w:tc>
        <w:tc>
          <w:tcPr>
            <w:tcW w:w="1272" w:type="dxa"/>
          </w:tcPr>
          <w:p w14:paraId="717E6156" w14:textId="77777777" w:rsidR="001C7C23" w:rsidRDefault="001C7C23"/>
        </w:tc>
      </w:tr>
      <w:tr w:rsidR="001C7C23" w14:paraId="434984E9" w14:textId="77777777" w:rsidTr="1F7060C7">
        <w:trPr>
          <w:trHeight w:val="281"/>
        </w:trPr>
        <w:tc>
          <w:tcPr>
            <w:tcW w:w="1272" w:type="dxa"/>
          </w:tcPr>
          <w:p w14:paraId="12E3949D" w14:textId="77777777" w:rsidR="001C7C23" w:rsidRDefault="001C7C23">
            <w:r>
              <w:t>Pasifika</w:t>
            </w:r>
          </w:p>
        </w:tc>
        <w:tc>
          <w:tcPr>
            <w:tcW w:w="1272" w:type="dxa"/>
          </w:tcPr>
          <w:p w14:paraId="3FC90BA0" w14:textId="77777777" w:rsidR="001C7C23" w:rsidRDefault="001C7C23"/>
        </w:tc>
        <w:tc>
          <w:tcPr>
            <w:tcW w:w="1272" w:type="dxa"/>
          </w:tcPr>
          <w:p w14:paraId="1ECFC2A2" w14:textId="77777777" w:rsidR="001C7C23" w:rsidRDefault="001C7C23"/>
        </w:tc>
        <w:tc>
          <w:tcPr>
            <w:tcW w:w="1272" w:type="dxa"/>
          </w:tcPr>
          <w:p w14:paraId="236A7B99" w14:textId="77777777" w:rsidR="001C7C23" w:rsidRDefault="001C7C23"/>
        </w:tc>
        <w:tc>
          <w:tcPr>
            <w:tcW w:w="1272" w:type="dxa"/>
          </w:tcPr>
          <w:p w14:paraId="47145FA5" w14:textId="77777777" w:rsidR="001C7C23" w:rsidRDefault="001C7C23"/>
        </w:tc>
        <w:tc>
          <w:tcPr>
            <w:tcW w:w="1272" w:type="dxa"/>
          </w:tcPr>
          <w:p w14:paraId="73A60638" w14:textId="77777777" w:rsidR="001C7C23" w:rsidRDefault="001C7C23"/>
        </w:tc>
      </w:tr>
      <w:tr w:rsidR="001C7C23" w14:paraId="6322370A" w14:textId="77777777" w:rsidTr="1F7060C7">
        <w:trPr>
          <w:trHeight w:val="281"/>
        </w:trPr>
        <w:tc>
          <w:tcPr>
            <w:tcW w:w="1272" w:type="dxa"/>
          </w:tcPr>
          <w:p w14:paraId="767CAE24" w14:textId="77777777" w:rsidR="001C7C23" w:rsidRDefault="001C7C23">
            <w:r>
              <w:t>Indo-Asian</w:t>
            </w:r>
          </w:p>
        </w:tc>
        <w:tc>
          <w:tcPr>
            <w:tcW w:w="1272" w:type="dxa"/>
          </w:tcPr>
          <w:p w14:paraId="28319091" w14:textId="77777777" w:rsidR="001C7C23" w:rsidRDefault="001C7C23"/>
        </w:tc>
        <w:tc>
          <w:tcPr>
            <w:tcW w:w="1272" w:type="dxa"/>
          </w:tcPr>
          <w:p w14:paraId="1083DD53" w14:textId="77777777" w:rsidR="001C7C23" w:rsidRDefault="001C7C23"/>
        </w:tc>
        <w:tc>
          <w:tcPr>
            <w:tcW w:w="1272" w:type="dxa"/>
          </w:tcPr>
          <w:p w14:paraId="2DCE7A0B" w14:textId="77777777" w:rsidR="001C7C23" w:rsidRDefault="001C7C23"/>
        </w:tc>
        <w:tc>
          <w:tcPr>
            <w:tcW w:w="1272" w:type="dxa"/>
          </w:tcPr>
          <w:p w14:paraId="652CB702" w14:textId="77777777" w:rsidR="001C7C23" w:rsidRDefault="001C7C23"/>
        </w:tc>
        <w:tc>
          <w:tcPr>
            <w:tcW w:w="1272" w:type="dxa"/>
          </w:tcPr>
          <w:p w14:paraId="7F75BEB6" w14:textId="77777777" w:rsidR="001C7C23" w:rsidRDefault="001C7C23"/>
        </w:tc>
      </w:tr>
      <w:tr w:rsidR="001C7C23" w14:paraId="11FEA821" w14:textId="77777777" w:rsidTr="1F7060C7">
        <w:trPr>
          <w:trHeight w:val="270"/>
        </w:trPr>
        <w:tc>
          <w:tcPr>
            <w:tcW w:w="1272" w:type="dxa"/>
          </w:tcPr>
          <w:p w14:paraId="32A65C44" w14:textId="6516D9E4" w:rsidR="001C7C23" w:rsidRDefault="463814F8">
            <w:r>
              <w:t>Under 25</w:t>
            </w:r>
          </w:p>
        </w:tc>
        <w:tc>
          <w:tcPr>
            <w:tcW w:w="1272" w:type="dxa"/>
          </w:tcPr>
          <w:p w14:paraId="332E6A2E" w14:textId="77777777" w:rsidR="001C7C23" w:rsidRDefault="001C7C23"/>
        </w:tc>
        <w:tc>
          <w:tcPr>
            <w:tcW w:w="1272" w:type="dxa"/>
          </w:tcPr>
          <w:p w14:paraId="16AC3982" w14:textId="77777777" w:rsidR="001C7C23" w:rsidRDefault="001C7C23"/>
        </w:tc>
        <w:tc>
          <w:tcPr>
            <w:tcW w:w="1272" w:type="dxa"/>
          </w:tcPr>
          <w:p w14:paraId="6826FF0D" w14:textId="77777777" w:rsidR="001C7C23" w:rsidRDefault="001C7C23"/>
        </w:tc>
        <w:tc>
          <w:tcPr>
            <w:tcW w:w="1272" w:type="dxa"/>
          </w:tcPr>
          <w:p w14:paraId="3B1372DC" w14:textId="77777777" w:rsidR="001C7C23" w:rsidRDefault="001C7C23"/>
        </w:tc>
        <w:tc>
          <w:tcPr>
            <w:tcW w:w="1272" w:type="dxa"/>
          </w:tcPr>
          <w:p w14:paraId="742A334B" w14:textId="77777777" w:rsidR="001C7C23" w:rsidRDefault="001C7C23"/>
        </w:tc>
      </w:tr>
      <w:tr w:rsidR="001C7C23" w14:paraId="3CE53310" w14:textId="77777777" w:rsidTr="1F7060C7">
        <w:trPr>
          <w:trHeight w:val="281"/>
        </w:trPr>
        <w:tc>
          <w:tcPr>
            <w:tcW w:w="1272" w:type="dxa"/>
          </w:tcPr>
          <w:p w14:paraId="7184B268" w14:textId="7ACD0F5A" w:rsidR="001C7C23" w:rsidRDefault="52C77941">
            <w:r>
              <w:t>Under 60</w:t>
            </w:r>
          </w:p>
        </w:tc>
        <w:tc>
          <w:tcPr>
            <w:tcW w:w="1272" w:type="dxa"/>
          </w:tcPr>
          <w:p w14:paraId="0ABD375F" w14:textId="77777777" w:rsidR="001C7C23" w:rsidRDefault="001C7C23"/>
        </w:tc>
        <w:tc>
          <w:tcPr>
            <w:tcW w:w="1272" w:type="dxa"/>
          </w:tcPr>
          <w:p w14:paraId="1801E718" w14:textId="77777777" w:rsidR="001C7C23" w:rsidRDefault="001C7C23"/>
        </w:tc>
        <w:tc>
          <w:tcPr>
            <w:tcW w:w="1272" w:type="dxa"/>
          </w:tcPr>
          <w:p w14:paraId="1C0B444F" w14:textId="77777777" w:rsidR="001C7C23" w:rsidRDefault="001C7C23"/>
        </w:tc>
        <w:tc>
          <w:tcPr>
            <w:tcW w:w="1272" w:type="dxa"/>
          </w:tcPr>
          <w:p w14:paraId="77485433" w14:textId="77777777" w:rsidR="001C7C23" w:rsidRDefault="001C7C23"/>
        </w:tc>
        <w:tc>
          <w:tcPr>
            <w:tcW w:w="1272" w:type="dxa"/>
          </w:tcPr>
          <w:p w14:paraId="2CD33000" w14:textId="77777777" w:rsidR="001C7C23" w:rsidRDefault="001C7C23"/>
        </w:tc>
      </w:tr>
      <w:tr w:rsidR="001C7C23" w14:paraId="526B3C7E" w14:textId="77777777" w:rsidTr="1F7060C7">
        <w:trPr>
          <w:trHeight w:val="281"/>
        </w:trPr>
        <w:tc>
          <w:tcPr>
            <w:tcW w:w="1272" w:type="dxa"/>
          </w:tcPr>
          <w:p w14:paraId="3FE4B618" w14:textId="77777777" w:rsidR="001C7C23" w:rsidRDefault="001C7C23">
            <w:r>
              <w:t>SEMI</w:t>
            </w:r>
          </w:p>
        </w:tc>
        <w:tc>
          <w:tcPr>
            <w:tcW w:w="1272" w:type="dxa"/>
          </w:tcPr>
          <w:p w14:paraId="442A82EC" w14:textId="77777777" w:rsidR="001C7C23" w:rsidRDefault="001C7C23"/>
        </w:tc>
        <w:tc>
          <w:tcPr>
            <w:tcW w:w="1272" w:type="dxa"/>
          </w:tcPr>
          <w:p w14:paraId="2DED6729" w14:textId="77777777" w:rsidR="001C7C23" w:rsidRDefault="001C7C23"/>
        </w:tc>
        <w:tc>
          <w:tcPr>
            <w:tcW w:w="1272" w:type="dxa"/>
          </w:tcPr>
          <w:p w14:paraId="079B580E" w14:textId="77777777" w:rsidR="001C7C23" w:rsidRDefault="001C7C23"/>
        </w:tc>
        <w:tc>
          <w:tcPr>
            <w:tcW w:w="1272" w:type="dxa"/>
          </w:tcPr>
          <w:p w14:paraId="6D8DC17D" w14:textId="77777777" w:rsidR="001C7C23" w:rsidRDefault="001C7C23"/>
        </w:tc>
        <w:tc>
          <w:tcPr>
            <w:tcW w:w="1272" w:type="dxa"/>
          </w:tcPr>
          <w:p w14:paraId="7244BF49" w14:textId="77777777" w:rsidR="001C7C23" w:rsidRDefault="001C7C23"/>
        </w:tc>
      </w:tr>
      <w:tr w:rsidR="001C7C23" w14:paraId="4F2D7C93" w14:textId="77777777" w:rsidTr="1F7060C7">
        <w:trPr>
          <w:trHeight w:val="281"/>
        </w:trPr>
        <w:tc>
          <w:tcPr>
            <w:tcW w:w="1272" w:type="dxa"/>
          </w:tcPr>
          <w:p w14:paraId="76FC9A0B" w14:textId="77777777" w:rsidR="001C7C23" w:rsidRDefault="001C7C23">
            <w:r>
              <w:t>NZDep Q5</w:t>
            </w:r>
          </w:p>
        </w:tc>
        <w:tc>
          <w:tcPr>
            <w:tcW w:w="1272" w:type="dxa"/>
          </w:tcPr>
          <w:p w14:paraId="53AE83E4" w14:textId="77777777" w:rsidR="001C7C23" w:rsidRDefault="001C7C23"/>
        </w:tc>
        <w:tc>
          <w:tcPr>
            <w:tcW w:w="1272" w:type="dxa"/>
          </w:tcPr>
          <w:p w14:paraId="6906B13F" w14:textId="77777777" w:rsidR="001C7C23" w:rsidRDefault="001C7C23"/>
        </w:tc>
        <w:tc>
          <w:tcPr>
            <w:tcW w:w="1272" w:type="dxa"/>
          </w:tcPr>
          <w:p w14:paraId="40CA9B8C" w14:textId="77777777" w:rsidR="001C7C23" w:rsidRDefault="001C7C23"/>
        </w:tc>
        <w:tc>
          <w:tcPr>
            <w:tcW w:w="1272" w:type="dxa"/>
          </w:tcPr>
          <w:p w14:paraId="37BE25A6" w14:textId="77777777" w:rsidR="001C7C23" w:rsidRDefault="001C7C23"/>
        </w:tc>
        <w:tc>
          <w:tcPr>
            <w:tcW w:w="1272" w:type="dxa"/>
          </w:tcPr>
          <w:p w14:paraId="14B71857" w14:textId="77777777" w:rsidR="001C7C23" w:rsidRDefault="001C7C23"/>
        </w:tc>
      </w:tr>
      <w:tr w:rsidR="1F7060C7" w14:paraId="7CD135B9" w14:textId="77777777" w:rsidTr="1F7060C7">
        <w:trPr>
          <w:trHeight w:val="281"/>
        </w:trPr>
        <w:tc>
          <w:tcPr>
            <w:tcW w:w="1272" w:type="dxa"/>
          </w:tcPr>
          <w:p w14:paraId="080433F3" w14:textId="13F644ED" w:rsidR="1F7060C7" w:rsidRDefault="6EEFDA7E">
            <w:r>
              <w:t xml:space="preserve"> Total in Practice</w:t>
            </w:r>
          </w:p>
          <w:p w14:paraId="12341F6D" w14:textId="621E7FB2" w:rsidR="1F7060C7" w:rsidRDefault="1F7060C7"/>
        </w:tc>
        <w:tc>
          <w:tcPr>
            <w:tcW w:w="1272" w:type="dxa"/>
          </w:tcPr>
          <w:p w14:paraId="15AA5D44" w14:textId="77777777" w:rsidR="1F7060C7" w:rsidRDefault="1F7060C7"/>
        </w:tc>
        <w:tc>
          <w:tcPr>
            <w:tcW w:w="1272" w:type="dxa"/>
          </w:tcPr>
          <w:p w14:paraId="5CC038C5" w14:textId="77777777" w:rsidR="1F7060C7" w:rsidRDefault="1F7060C7"/>
        </w:tc>
        <w:tc>
          <w:tcPr>
            <w:tcW w:w="1272" w:type="dxa"/>
          </w:tcPr>
          <w:p w14:paraId="39628ADF" w14:textId="77777777" w:rsidR="1F7060C7" w:rsidRDefault="1F7060C7"/>
        </w:tc>
        <w:tc>
          <w:tcPr>
            <w:tcW w:w="1272" w:type="dxa"/>
          </w:tcPr>
          <w:p w14:paraId="62B75B76" w14:textId="77777777" w:rsidR="1F7060C7" w:rsidRDefault="1F7060C7"/>
        </w:tc>
        <w:tc>
          <w:tcPr>
            <w:tcW w:w="1272" w:type="dxa"/>
          </w:tcPr>
          <w:p w14:paraId="0C506404" w14:textId="77777777" w:rsidR="1F7060C7" w:rsidRDefault="1F7060C7"/>
        </w:tc>
      </w:tr>
    </w:tbl>
    <w:p w14:paraId="686D7431" w14:textId="77777777" w:rsidR="001C7C23" w:rsidRDefault="001C7C23" w:rsidP="00692B8A"/>
    <w:p w14:paraId="17543C75" w14:textId="5B88A1C6" w:rsidR="00BD6A61" w:rsidRPr="00BD6A61" w:rsidRDefault="00BD6A61" w:rsidP="1F7060C7">
      <w:pPr>
        <w:rPr>
          <w:b/>
          <w:bCs/>
        </w:rPr>
      </w:pPr>
      <w:r w:rsidRPr="1F7060C7">
        <w:rPr>
          <w:b/>
          <w:bCs/>
        </w:rPr>
        <w:lastRenderedPageBreak/>
        <w:t xml:space="preserve">Table </w:t>
      </w:r>
      <w:r w:rsidR="00A96078" w:rsidRPr="1F7060C7">
        <w:rPr>
          <w:b/>
          <w:bCs/>
        </w:rPr>
        <w:t>4</w:t>
      </w:r>
      <w:r w:rsidRPr="1F7060C7">
        <w:rPr>
          <w:b/>
          <w:bCs/>
        </w:rPr>
        <w:t xml:space="preserve">. HbA1c levels in T2D Patients - </w:t>
      </w:r>
      <w:r w:rsidR="00293BF7" w:rsidRPr="1F7060C7">
        <w:rPr>
          <w:b/>
          <w:bCs/>
        </w:rPr>
        <w:t>Percentage</w:t>
      </w:r>
      <w:r w:rsidRPr="1F7060C7">
        <w:rPr>
          <w:b/>
          <w:bCs/>
        </w:rPr>
        <w:t xml:space="preserve"> </w:t>
      </w:r>
      <w:r w:rsidR="0D750F08" w:rsidRPr="1F7060C7">
        <w:rPr>
          <w:b/>
          <w:bCs/>
        </w:rPr>
        <w:t>D</w:t>
      </w:r>
      <w:r w:rsidR="004D0FCC" w:rsidRPr="1F7060C7">
        <w:rPr>
          <w:b/>
          <w:bCs/>
        </w:rPr>
        <w:t>istribution of HbA1c</w:t>
      </w:r>
      <w:r w:rsidR="00A96078" w:rsidRPr="1F7060C7">
        <w:rPr>
          <w:b/>
          <w:bCs/>
        </w:rPr>
        <w:t xml:space="preserve"> levels per group</w:t>
      </w:r>
    </w:p>
    <w:tbl>
      <w:tblPr>
        <w:tblStyle w:val="TableGrid"/>
        <w:tblW w:w="0" w:type="auto"/>
        <w:tblLook w:val="04A0" w:firstRow="1" w:lastRow="0" w:firstColumn="1" w:lastColumn="0" w:noHBand="0" w:noVBand="1"/>
      </w:tblPr>
      <w:tblGrid>
        <w:gridCol w:w="1532"/>
        <w:gridCol w:w="1532"/>
        <w:gridCol w:w="1532"/>
        <w:gridCol w:w="1532"/>
        <w:gridCol w:w="1532"/>
      </w:tblGrid>
      <w:tr w:rsidR="00A96078" w14:paraId="14C279FE" w14:textId="77777777" w:rsidTr="1F7060C7">
        <w:trPr>
          <w:trHeight w:val="1027"/>
        </w:trPr>
        <w:tc>
          <w:tcPr>
            <w:tcW w:w="1532" w:type="dxa"/>
          </w:tcPr>
          <w:p w14:paraId="2166D5B8" w14:textId="77777777" w:rsidR="00A96078" w:rsidRDefault="00A96078">
            <w:r>
              <w:rPr>
                <w:b/>
              </w:rPr>
              <w:t>Population Group</w:t>
            </w:r>
          </w:p>
        </w:tc>
        <w:tc>
          <w:tcPr>
            <w:tcW w:w="1532" w:type="dxa"/>
          </w:tcPr>
          <w:p w14:paraId="0121C119" w14:textId="77777777" w:rsidR="00A96078" w:rsidRDefault="00A96078">
            <w:r>
              <w:rPr>
                <w:b/>
              </w:rPr>
              <w:t>HbA1c 48–52 mmol/mol (%)</w:t>
            </w:r>
          </w:p>
        </w:tc>
        <w:tc>
          <w:tcPr>
            <w:tcW w:w="1532" w:type="dxa"/>
          </w:tcPr>
          <w:p w14:paraId="06F999FA" w14:textId="77777777" w:rsidR="00A96078" w:rsidRDefault="00A96078">
            <w:r>
              <w:rPr>
                <w:b/>
              </w:rPr>
              <w:t>HbA1c &gt;=53 mmol/mol (%)</w:t>
            </w:r>
          </w:p>
        </w:tc>
        <w:tc>
          <w:tcPr>
            <w:tcW w:w="1532" w:type="dxa"/>
          </w:tcPr>
          <w:p w14:paraId="3094C0A6" w14:textId="77777777" w:rsidR="00A96078" w:rsidRDefault="00A96078">
            <w:r>
              <w:rPr>
                <w:b/>
              </w:rPr>
              <w:t>HbA1c &gt;64 mmol/mol (%)</w:t>
            </w:r>
          </w:p>
        </w:tc>
        <w:tc>
          <w:tcPr>
            <w:tcW w:w="1532" w:type="dxa"/>
          </w:tcPr>
          <w:p w14:paraId="55AF6174" w14:textId="77777777" w:rsidR="00A96078" w:rsidRDefault="00A96078">
            <w:r>
              <w:rPr>
                <w:b/>
              </w:rPr>
              <w:t>No HbA1c in last 12 months (%)</w:t>
            </w:r>
          </w:p>
        </w:tc>
      </w:tr>
      <w:tr w:rsidR="00A96078" w14:paraId="08F3AEB1" w14:textId="77777777" w:rsidTr="1F7060C7">
        <w:trPr>
          <w:trHeight w:val="556"/>
        </w:trPr>
        <w:tc>
          <w:tcPr>
            <w:tcW w:w="1532" w:type="dxa"/>
          </w:tcPr>
          <w:p w14:paraId="231CE664" w14:textId="77777777" w:rsidR="00A96078" w:rsidRDefault="00A96078">
            <w:r>
              <w:t>NZ Euro (reference)</w:t>
            </w:r>
          </w:p>
        </w:tc>
        <w:tc>
          <w:tcPr>
            <w:tcW w:w="1532" w:type="dxa"/>
          </w:tcPr>
          <w:p w14:paraId="26BF45E6" w14:textId="77777777" w:rsidR="00A96078" w:rsidRDefault="00A96078"/>
        </w:tc>
        <w:tc>
          <w:tcPr>
            <w:tcW w:w="1532" w:type="dxa"/>
          </w:tcPr>
          <w:p w14:paraId="12E94B8B" w14:textId="77777777" w:rsidR="00A96078" w:rsidRDefault="00A96078"/>
        </w:tc>
        <w:tc>
          <w:tcPr>
            <w:tcW w:w="1532" w:type="dxa"/>
          </w:tcPr>
          <w:p w14:paraId="1B03D5CF" w14:textId="77777777" w:rsidR="00A96078" w:rsidRDefault="00A96078"/>
        </w:tc>
        <w:tc>
          <w:tcPr>
            <w:tcW w:w="1532" w:type="dxa"/>
          </w:tcPr>
          <w:p w14:paraId="7D2E3685" w14:textId="77777777" w:rsidR="00A96078" w:rsidRDefault="00A96078"/>
        </w:tc>
      </w:tr>
      <w:tr w:rsidR="00A96078" w14:paraId="41C18642" w14:textId="77777777" w:rsidTr="1F7060C7">
        <w:trPr>
          <w:trHeight w:val="343"/>
        </w:trPr>
        <w:tc>
          <w:tcPr>
            <w:tcW w:w="1532" w:type="dxa"/>
          </w:tcPr>
          <w:p w14:paraId="078161FE" w14:textId="77777777" w:rsidR="00A96078" w:rsidRDefault="00A96078">
            <w:r>
              <w:t>Māori</w:t>
            </w:r>
          </w:p>
        </w:tc>
        <w:tc>
          <w:tcPr>
            <w:tcW w:w="1532" w:type="dxa"/>
          </w:tcPr>
          <w:p w14:paraId="09990EC4" w14:textId="77777777" w:rsidR="00A96078" w:rsidRDefault="00A96078"/>
        </w:tc>
        <w:tc>
          <w:tcPr>
            <w:tcW w:w="1532" w:type="dxa"/>
          </w:tcPr>
          <w:p w14:paraId="4FD81F3D" w14:textId="77777777" w:rsidR="00A96078" w:rsidRDefault="00A96078"/>
        </w:tc>
        <w:tc>
          <w:tcPr>
            <w:tcW w:w="1532" w:type="dxa"/>
          </w:tcPr>
          <w:p w14:paraId="31333D2E" w14:textId="77777777" w:rsidR="00A96078" w:rsidRDefault="00A96078"/>
        </w:tc>
        <w:tc>
          <w:tcPr>
            <w:tcW w:w="1532" w:type="dxa"/>
          </w:tcPr>
          <w:p w14:paraId="15BED545" w14:textId="77777777" w:rsidR="00A96078" w:rsidRDefault="00A96078"/>
        </w:tc>
      </w:tr>
      <w:tr w:rsidR="00A96078" w14:paraId="7A213885" w14:textId="77777777" w:rsidTr="1F7060C7">
        <w:trPr>
          <w:trHeight w:val="343"/>
        </w:trPr>
        <w:tc>
          <w:tcPr>
            <w:tcW w:w="1532" w:type="dxa"/>
          </w:tcPr>
          <w:p w14:paraId="384877E1" w14:textId="77777777" w:rsidR="00A96078" w:rsidRDefault="00A96078">
            <w:r>
              <w:t>Pasifika</w:t>
            </w:r>
          </w:p>
        </w:tc>
        <w:tc>
          <w:tcPr>
            <w:tcW w:w="1532" w:type="dxa"/>
          </w:tcPr>
          <w:p w14:paraId="4F2BCDC7" w14:textId="77777777" w:rsidR="00A96078" w:rsidRDefault="00A96078"/>
        </w:tc>
        <w:tc>
          <w:tcPr>
            <w:tcW w:w="1532" w:type="dxa"/>
          </w:tcPr>
          <w:p w14:paraId="5E82195E" w14:textId="77777777" w:rsidR="00A96078" w:rsidRDefault="00A96078"/>
        </w:tc>
        <w:tc>
          <w:tcPr>
            <w:tcW w:w="1532" w:type="dxa"/>
          </w:tcPr>
          <w:p w14:paraId="40140F54" w14:textId="77777777" w:rsidR="00A96078" w:rsidRDefault="00A96078"/>
        </w:tc>
        <w:tc>
          <w:tcPr>
            <w:tcW w:w="1532" w:type="dxa"/>
          </w:tcPr>
          <w:p w14:paraId="5C9CDDBC" w14:textId="77777777" w:rsidR="00A96078" w:rsidRDefault="00A96078"/>
        </w:tc>
      </w:tr>
      <w:tr w:rsidR="00A96078" w14:paraId="60E1BB5C" w14:textId="77777777" w:rsidTr="1F7060C7">
        <w:trPr>
          <w:trHeight w:val="343"/>
        </w:trPr>
        <w:tc>
          <w:tcPr>
            <w:tcW w:w="1532" w:type="dxa"/>
          </w:tcPr>
          <w:p w14:paraId="6782452B" w14:textId="77777777" w:rsidR="00A96078" w:rsidRDefault="00A96078">
            <w:r>
              <w:t>Indo-Asian</w:t>
            </w:r>
          </w:p>
        </w:tc>
        <w:tc>
          <w:tcPr>
            <w:tcW w:w="1532" w:type="dxa"/>
          </w:tcPr>
          <w:p w14:paraId="0BA47065" w14:textId="77777777" w:rsidR="00A96078" w:rsidRDefault="00A96078"/>
        </w:tc>
        <w:tc>
          <w:tcPr>
            <w:tcW w:w="1532" w:type="dxa"/>
          </w:tcPr>
          <w:p w14:paraId="3E788A24" w14:textId="77777777" w:rsidR="00A96078" w:rsidRDefault="00A96078"/>
        </w:tc>
        <w:tc>
          <w:tcPr>
            <w:tcW w:w="1532" w:type="dxa"/>
          </w:tcPr>
          <w:p w14:paraId="31584A71" w14:textId="77777777" w:rsidR="00A96078" w:rsidRDefault="00A96078"/>
        </w:tc>
        <w:tc>
          <w:tcPr>
            <w:tcW w:w="1532" w:type="dxa"/>
          </w:tcPr>
          <w:p w14:paraId="232C8FD8" w14:textId="77777777" w:rsidR="00A96078" w:rsidRDefault="00A96078"/>
        </w:tc>
      </w:tr>
      <w:tr w:rsidR="00A96078" w14:paraId="163DCE62" w14:textId="77777777" w:rsidTr="1F7060C7">
        <w:trPr>
          <w:trHeight w:val="330"/>
        </w:trPr>
        <w:tc>
          <w:tcPr>
            <w:tcW w:w="1532" w:type="dxa"/>
          </w:tcPr>
          <w:p w14:paraId="4EDD98DB" w14:textId="3F17F391" w:rsidR="00A96078" w:rsidRDefault="463814F8">
            <w:r>
              <w:t>Under 25</w:t>
            </w:r>
          </w:p>
        </w:tc>
        <w:tc>
          <w:tcPr>
            <w:tcW w:w="1532" w:type="dxa"/>
          </w:tcPr>
          <w:p w14:paraId="263DDAA2" w14:textId="77777777" w:rsidR="00A96078" w:rsidRDefault="00A96078"/>
        </w:tc>
        <w:tc>
          <w:tcPr>
            <w:tcW w:w="1532" w:type="dxa"/>
          </w:tcPr>
          <w:p w14:paraId="2DF940DC" w14:textId="77777777" w:rsidR="00A96078" w:rsidRDefault="00A96078"/>
        </w:tc>
        <w:tc>
          <w:tcPr>
            <w:tcW w:w="1532" w:type="dxa"/>
          </w:tcPr>
          <w:p w14:paraId="4E3A00C0" w14:textId="77777777" w:rsidR="00A96078" w:rsidRDefault="00A96078"/>
        </w:tc>
        <w:tc>
          <w:tcPr>
            <w:tcW w:w="1532" w:type="dxa"/>
          </w:tcPr>
          <w:p w14:paraId="223BB4DF" w14:textId="77777777" w:rsidR="00A96078" w:rsidRDefault="00A96078"/>
        </w:tc>
      </w:tr>
      <w:tr w:rsidR="00A96078" w14:paraId="2DD72A51" w14:textId="77777777" w:rsidTr="1F7060C7">
        <w:trPr>
          <w:trHeight w:val="343"/>
        </w:trPr>
        <w:tc>
          <w:tcPr>
            <w:tcW w:w="1532" w:type="dxa"/>
          </w:tcPr>
          <w:p w14:paraId="5C234B22" w14:textId="5860E636" w:rsidR="00A96078" w:rsidRDefault="52C77941">
            <w:r>
              <w:t>Under 60</w:t>
            </w:r>
          </w:p>
        </w:tc>
        <w:tc>
          <w:tcPr>
            <w:tcW w:w="1532" w:type="dxa"/>
          </w:tcPr>
          <w:p w14:paraId="510646C5" w14:textId="77777777" w:rsidR="00A96078" w:rsidRDefault="00A96078"/>
        </w:tc>
        <w:tc>
          <w:tcPr>
            <w:tcW w:w="1532" w:type="dxa"/>
          </w:tcPr>
          <w:p w14:paraId="78D5D139" w14:textId="77777777" w:rsidR="00A96078" w:rsidRDefault="00A96078"/>
        </w:tc>
        <w:tc>
          <w:tcPr>
            <w:tcW w:w="1532" w:type="dxa"/>
          </w:tcPr>
          <w:p w14:paraId="3DC879DC" w14:textId="77777777" w:rsidR="00A96078" w:rsidRDefault="00A96078"/>
        </w:tc>
        <w:tc>
          <w:tcPr>
            <w:tcW w:w="1532" w:type="dxa"/>
          </w:tcPr>
          <w:p w14:paraId="4EF7B407" w14:textId="77777777" w:rsidR="00A96078" w:rsidRDefault="00A96078"/>
        </w:tc>
      </w:tr>
      <w:tr w:rsidR="00A96078" w14:paraId="5E197B09" w14:textId="77777777" w:rsidTr="1F7060C7">
        <w:trPr>
          <w:trHeight w:val="343"/>
        </w:trPr>
        <w:tc>
          <w:tcPr>
            <w:tcW w:w="1532" w:type="dxa"/>
          </w:tcPr>
          <w:p w14:paraId="327F22B8" w14:textId="77777777" w:rsidR="00A96078" w:rsidRDefault="00A96078">
            <w:r>
              <w:t>SEMI</w:t>
            </w:r>
          </w:p>
        </w:tc>
        <w:tc>
          <w:tcPr>
            <w:tcW w:w="1532" w:type="dxa"/>
          </w:tcPr>
          <w:p w14:paraId="5263B6A6" w14:textId="77777777" w:rsidR="00A96078" w:rsidRDefault="00A96078"/>
        </w:tc>
        <w:tc>
          <w:tcPr>
            <w:tcW w:w="1532" w:type="dxa"/>
          </w:tcPr>
          <w:p w14:paraId="5662D4EC" w14:textId="77777777" w:rsidR="00A96078" w:rsidRDefault="00A96078"/>
        </w:tc>
        <w:tc>
          <w:tcPr>
            <w:tcW w:w="1532" w:type="dxa"/>
          </w:tcPr>
          <w:p w14:paraId="288F3AAD" w14:textId="77777777" w:rsidR="00A96078" w:rsidRDefault="00A96078"/>
        </w:tc>
        <w:tc>
          <w:tcPr>
            <w:tcW w:w="1532" w:type="dxa"/>
          </w:tcPr>
          <w:p w14:paraId="19CAC9A1" w14:textId="77777777" w:rsidR="00A96078" w:rsidRDefault="00A96078"/>
        </w:tc>
      </w:tr>
      <w:tr w:rsidR="00A96078" w14:paraId="12CF170F" w14:textId="77777777" w:rsidTr="1F7060C7">
        <w:trPr>
          <w:trHeight w:val="343"/>
        </w:trPr>
        <w:tc>
          <w:tcPr>
            <w:tcW w:w="1532" w:type="dxa"/>
          </w:tcPr>
          <w:p w14:paraId="1291FE49" w14:textId="77777777" w:rsidR="00A96078" w:rsidRDefault="00A96078">
            <w:r>
              <w:t>NZDep Q5</w:t>
            </w:r>
          </w:p>
        </w:tc>
        <w:tc>
          <w:tcPr>
            <w:tcW w:w="1532" w:type="dxa"/>
          </w:tcPr>
          <w:p w14:paraId="05D4ED39" w14:textId="77777777" w:rsidR="00A96078" w:rsidRDefault="00A96078"/>
        </w:tc>
        <w:tc>
          <w:tcPr>
            <w:tcW w:w="1532" w:type="dxa"/>
          </w:tcPr>
          <w:p w14:paraId="549D47BF" w14:textId="77777777" w:rsidR="00A96078" w:rsidRDefault="00A96078"/>
        </w:tc>
        <w:tc>
          <w:tcPr>
            <w:tcW w:w="1532" w:type="dxa"/>
          </w:tcPr>
          <w:p w14:paraId="30D65263" w14:textId="77777777" w:rsidR="00A96078" w:rsidRDefault="00A96078"/>
        </w:tc>
        <w:tc>
          <w:tcPr>
            <w:tcW w:w="1532" w:type="dxa"/>
          </w:tcPr>
          <w:p w14:paraId="29237E4D" w14:textId="77777777" w:rsidR="00A96078" w:rsidRDefault="00A96078"/>
        </w:tc>
      </w:tr>
      <w:tr w:rsidR="1F7060C7" w14:paraId="7BCF2D55" w14:textId="77777777" w:rsidTr="1F7060C7">
        <w:trPr>
          <w:trHeight w:val="343"/>
        </w:trPr>
        <w:tc>
          <w:tcPr>
            <w:tcW w:w="1532" w:type="dxa"/>
          </w:tcPr>
          <w:p w14:paraId="3F46640F" w14:textId="320A6347" w:rsidR="1F7060C7" w:rsidRDefault="01B28EE7">
            <w:r>
              <w:t xml:space="preserve"> Total in Practice</w:t>
            </w:r>
          </w:p>
          <w:p w14:paraId="394BF27D" w14:textId="5277DBDB" w:rsidR="1F7060C7" w:rsidRDefault="1F7060C7"/>
        </w:tc>
        <w:tc>
          <w:tcPr>
            <w:tcW w:w="1532" w:type="dxa"/>
          </w:tcPr>
          <w:p w14:paraId="4F2B65D5" w14:textId="77777777" w:rsidR="1F7060C7" w:rsidRDefault="1F7060C7"/>
        </w:tc>
        <w:tc>
          <w:tcPr>
            <w:tcW w:w="1532" w:type="dxa"/>
          </w:tcPr>
          <w:p w14:paraId="616B26B8" w14:textId="77777777" w:rsidR="1F7060C7" w:rsidRDefault="1F7060C7"/>
        </w:tc>
        <w:tc>
          <w:tcPr>
            <w:tcW w:w="1532" w:type="dxa"/>
          </w:tcPr>
          <w:p w14:paraId="4C28B975" w14:textId="77777777" w:rsidR="1F7060C7" w:rsidRDefault="1F7060C7"/>
        </w:tc>
        <w:tc>
          <w:tcPr>
            <w:tcW w:w="1532" w:type="dxa"/>
          </w:tcPr>
          <w:p w14:paraId="4C595F13" w14:textId="77777777" w:rsidR="1F7060C7" w:rsidRDefault="1F7060C7"/>
        </w:tc>
      </w:tr>
    </w:tbl>
    <w:p w14:paraId="0501BDDA" w14:textId="77777777" w:rsidR="00293BF7" w:rsidRDefault="00293BF7" w:rsidP="00293BF7">
      <w:r>
        <w:t>Denominator = all classified T2D patients in each group</w:t>
      </w:r>
    </w:p>
    <w:p w14:paraId="380EBBB2" w14:textId="77777777" w:rsidR="006F6420" w:rsidRPr="00692B8A" w:rsidRDefault="006F6420">
      <w:pPr>
        <w:rPr>
          <w:b/>
          <w:bCs/>
        </w:rPr>
      </w:pPr>
    </w:p>
    <w:p w14:paraId="2843719C" w14:textId="77777777" w:rsidR="006F6420" w:rsidRDefault="00041D25">
      <w:r>
        <w:t>──────────────────────────────────────────────────</w:t>
      </w:r>
    </w:p>
    <w:p w14:paraId="1E7273E0" w14:textId="77777777" w:rsidR="00692B8A" w:rsidRPr="00692B8A" w:rsidRDefault="00692B8A" w:rsidP="00692B8A">
      <w:pPr>
        <w:rPr>
          <w:b/>
        </w:rPr>
      </w:pPr>
      <w:r w:rsidRPr="00692B8A">
        <w:rPr>
          <w:b/>
        </w:rPr>
        <w:t>Table 5. Quality Improvement Planning — Mini Audit 1</w:t>
      </w:r>
    </w:p>
    <w:tbl>
      <w:tblPr>
        <w:tblStyle w:val="TableGrid"/>
        <w:tblW w:w="0" w:type="auto"/>
        <w:tblLook w:val="04A0" w:firstRow="1" w:lastRow="0" w:firstColumn="1" w:lastColumn="0" w:noHBand="0" w:noVBand="1"/>
      </w:tblPr>
      <w:tblGrid>
        <w:gridCol w:w="1725"/>
        <w:gridCol w:w="1727"/>
        <w:gridCol w:w="1725"/>
        <w:gridCol w:w="1726"/>
        <w:gridCol w:w="1727"/>
      </w:tblGrid>
      <w:tr w:rsidR="00692B8A" w14:paraId="1F530A23" w14:textId="77777777" w:rsidTr="727CE75B">
        <w:tc>
          <w:tcPr>
            <w:tcW w:w="1728" w:type="dxa"/>
          </w:tcPr>
          <w:p w14:paraId="27D40E70" w14:textId="77777777" w:rsidR="00692B8A" w:rsidRDefault="00692B8A">
            <w:r>
              <w:rPr>
                <w:b/>
              </w:rPr>
              <w:t>Issue Identified</w:t>
            </w:r>
          </w:p>
        </w:tc>
        <w:tc>
          <w:tcPr>
            <w:tcW w:w="1728" w:type="dxa"/>
          </w:tcPr>
          <w:p w14:paraId="0D3AA769" w14:textId="77777777" w:rsidR="00692B8A" w:rsidRDefault="00692B8A">
            <w:r>
              <w:rPr>
                <w:b/>
              </w:rPr>
              <w:t>Priority Population(s)</w:t>
            </w:r>
          </w:p>
        </w:tc>
        <w:tc>
          <w:tcPr>
            <w:tcW w:w="1728" w:type="dxa"/>
          </w:tcPr>
          <w:p w14:paraId="1E351245" w14:textId="77777777" w:rsidR="00692B8A" w:rsidRDefault="00692B8A">
            <w:r>
              <w:rPr>
                <w:b/>
              </w:rPr>
              <w:t>Action Planned</w:t>
            </w:r>
          </w:p>
        </w:tc>
        <w:tc>
          <w:tcPr>
            <w:tcW w:w="1728" w:type="dxa"/>
          </w:tcPr>
          <w:p w14:paraId="750A95DA" w14:textId="77777777" w:rsidR="00692B8A" w:rsidRDefault="00692B8A">
            <w:r>
              <w:rPr>
                <w:b/>
              </w:rPr>
              <w:t>Timeframe</w:t>
            </w:r>
          </w:p>
        </w:tc>
        <w:tc>
          <w:tcPr>
            <w:tcW w:w="1728" w:type="dxa"/>
          </w:tcPr>
          <w:p w14:paraId="3223B7E8" w14:textId="77777777" w:rsidR="00692B8A" w:rsidRDefault="00692B8A">
            <w:r>
              <w:rPr>
                <w:b/>
              </w:rPr>
              <w:t>Person Responsible</w:t>
            </w:r>
          </w:p>
        </w:tc>
      </w:tr>
      <w:tr w:rsidR="00692B8A" w14:paraId="58416D40" w14:textId="77777777" w:rsidTr="727CE75B">
        <w:tc>
          <w:tcPr>
            <w:tcW w:w="1728" w:type="dxa"/>
          </w:tcPr>
          <w:p w14:paraId="4FB8A5CC" w14:textId="77777777" w:rsidR="00692B8A" w:rsidRDefault="00692B8A"/>
        </w:tc>
        <w:tc>
          <w:tcPr>
            <w:tcW w:w="1728" w:type="dxa"/>
          </w:tcPr>
          <w:p w14:paraId="79BD6F14" w14:textId="5BD6BFF8" w:rsidR="00692B8A" w:rsidRDefault="39EE206F">
            <w:r>
              <w:t xml:space="preserve">Māori / Pasifika / Indo-Asian / </w:t>
            </w:r>
            <w:r w:rsidR="463814F8">
              <w:t>Under 25</w:t>
            </w:r>
            <w:r>
              <w:t xml:space="preserve"> / </w:t>
            </w:r>
            <w:r w:rsidR="52C77941">
              <w:t>Under 60</w:t>
            </w:r>
            <w:r>
              <w:t xml:space="preserve"> / SEMI / Q5 / All</w:t>
            </w:r>
          </w:p>
        </w:tc>
        <w:tc>
          <w:tcPr>
            <w:tcW w:w="1728" w:type="dxa"/>
          </w:tcPr>
          <w:p w14:paraId="735B48A6" w14:textId="77777777" w:rsidR="00692B8A" w:rsidRDefault="00692B8A"/>
        </w:tc>
        <w:tc>
          <w:tcPr>
            <w:tcW w:w="1728" w:type="dxa"/>
          </w:tcPr>
          <w:p w14:paraId="0FFF0836" w14:textId="77777777" w:rsidR="00692B8A" w:rsidRDefault="00692B8A"/>
        </w:tc>
        <w:tc>
          <w:tcPr>
            <w:tcW w:w="1728" w:type="dxa"/>
          </w:tcPr>
          <w:p w14:paraId="45EAB57E" w14:textId="77777777" w:rsidR="00692B8A" w:rsidRDefault="00692B8A"/>
        </w:tc>
      </w:tr>
      <w:tr w:rsidR="00692B8A" w14:paraId="496AE3EA" w14:textId="77777777" w:rsidTr="727CE75B">
        <w:tc>
          <w:tcPr>
            <w:tcW w:w="1728" w:type="dxa"/>
          </w:tcPr>
          <w:p w14:paraId="61091F38" w14:textId="77777777" w:rsidR="00692B8A" w:rsidRDefault="00692B8A"/>
        </w:tc>
        <w:tc>
          <w:tcPr>
            <w:tcW w:w="1728" w:type="dxa"/>
          </w:tcPr>
          <w:p w14:paraId="35FF818F" w14:textId="442ABE8F" w:rsidR="00692B8A" w:rsidRDefault="39EE206F">
            <w:r>
              <w:t xml:space="preserve">Māori / Pasifika / Indo-Asian / </w:t>
            </w:r>
            <w:r w:rsidR="463814F8">
              <w:t>Under 25</w:t>
            </w:r>
            <w:r>
              <w:t xml:space="preserve"> / </w:t>
            </w:r>
            <w:r w:rsidR="52C77941">
              <w:t>Under 60</w:t>
            </w:r>
            <w:r>
              <w:t xml:space="preserve"> / SEMI / Q5 / All</w:t>
            </w:r>
          </w:p>
        </w:tc>
        <w:tc>
          <w:tcPr>
            <w:tcW w:w="1728" w:type="dxa"/>
          </w:tcPr>
          <w:p w14:paraId="261A191A" w14:textId="77777777" w:rsidR="00692B8A" w:rsidRDefault="00692B8A"/>
        </w:tc>
        <w:tc>
          <w:tcPr>
            <w:tcW w:w="1728" w:type="dxa"/>
          </w:tcPr>
          <w:p w14:paraId="5241BF3B" w14:textId="77777777" w:rsidR="00692B8A" w:rsidRDefault="00692B8A"/>
        </w:tc>
        <w:tc>
          <w:tcPr>
            <w:tcW w:w="1728" w:type="dxa"/>
          </w:tcPr>
          <w:p w14:paraId="3F520A88" w14:textId="77777777" w:rsidR="00692B8A" w:rsidRDefault="00692B8A"/>
        </w:tc>
      </w:tr>
      <w:tr w:rsidR="00692B8A" w14:paraId="1AF7A126" w14:textId="77777777" w:rsidTr="727CE75B">
        <w:tc>
          <w:tcPr>
            <w:tcW w:w="1728" w:type="dxa"/>
          </w:tcPr>
          <w:p w14:paraId="24B6600D" w14:textId="77777777" w:rsidR="00692B8A" w:rsidRDefault="00692B8A"/>
        </w:tc>
        <w:tc>
          <w:tcPr>
            <w:tcW w:w="1728" w:type="dxa"/>
          </w:tcPr>
          <w:p w14:paraId="038F969D" w14:textId="39EFE96C" w:rsidR="00692B8A" w:rsidRDefault="39EE206F">
            <w:r>
              <w:t xml:space="preserve">Māori / Pasifika / Indo-Asian / </w:t>
            </w:r>
            <w:r w:rsidR="463814F8">
              <w:t>Under 25</w:t>
            </w:r>
            <w:r>
              <w:t xml:space="preserve"> / </w:t>
            </w:r>
            <w:r w:rsidR="52C77941">
              <w:t>Under 60</w:t>
            </w:r>
            <w:r>
              <w:t xml:space="preserve"> / SEMI / Q5 / All</w:t>
            </w:r>
          </w:p>
        </w:tc>
        <w:tc>
          <w:tcPr>
            <w:tcW w:w="1728" w:type="dxa"/>
          </w:tcPr>
          <w:p w14:paraId="3691A7E1" w14:textId="77777777" w:rsidR="00692B8A" w:rsidRDefault="00692B8A"/>
        </w:tc>
        <w:tc>
          <w:tcPr>
            <w:tcW w:w="1728" w:type="dxa"/>
          </w:tcPr>
          <w:p w14:paraId="0CE227FA" w14:textId="77777777" w:rsidR="00692B8A" w:rsidRDefault="00692B8A"/>
        </w:tc>
        <w:tc>
          <w:tcPr>
            <w:tcW w:w="1728" w:type="dxa"/>
          </w:tcPr>
          <w:p w14:paraId="5B244F00" w14:textId="77777777" w:rsidR="00692B8A" w:rsidRDefault="00692B8A"/>
        </w:tc>
      </w:tr>
    </w:tbl>
    <w:p w14:paraId="0755F433" w14:textId="77777777" w:rsidR="00692B8A" w:rsidRDefault="00692B8A">
      <w:pPr>
        <w:rPr>
          <w:b/>
        </w:rPr>
      </w:pPr>
    </w:p>
    <w:p w14:paraId="0278C3F2" w14:textId="0BC45DFA" w:rsidR="006F6420" w:rsidRDefault="00041D25">
      <w:r>
        <w:rPr>
          <w:b/>
        </w:rPr>
        <w:lastRenderedPageBreak/>
        <w:t>Planned outcomes (examples — adapt locally):</w:t>
      </w:r>
    </w:p>
    <w:p w14:paraId="6E01DB6D" w14:textId="77777777" w:rsidR="006F6420" w:rsidRDefault="00041D25">
      <w:pPr>
        <w:pStyle w:val="ListBullet"/>
      </w:pPr>
      <w:r>
        <w:t>Classify all confirmed newly diagnosable patients (HbA1c &gt;= 48) within ___ months</w:t>
      </w:r>
    </w:p>
    <w:p w14:paraId="584BCD80" w14:textId="77777777" w:rsidR="006F6420" w:rsidRDefault="00041D25">
      <w:pPr>
        <w:pStyle w:val="ListBullet"/>
      </w:pPr>
      <w:r>
        <w:t>Complete repeat testing for all patients requiring confirmation within ___ months</w:t>
      </w:r>
    </w:p>
    <w:p w14:paraId="6F177D71" w14:textId="77777777" w:rsidR="006F6420" w:rsidRDefault="00041D25">
      <w:pPr>
        <w:pStyle w:val="ListBullet"/>
      </w:pPr>
      <w:r>
        <w:t>Reduce proportion of patients with HbA1c &gt; 64 mmol/mol by ___% within ___ months</w:t>
      </w:r>
    </w:p>
    <w:p w14:paraId="73343F00" w14:textId="77777777" w:rsidR="006F6420" w:rsidRDefault="00041D25">
      <w:r>
        <w:t>──────────────────────────────────────────────────</w:t>
      </w:r>
    </w:p>
    <w:p w14:paraId="3661D305" w14:textId="77777777" w:rsidR="006F6420" w:rsidRDefault="00041D25">
      <w:pPr>
        <w:pStyle w:val="Heading2"/>
      </w:pPr>
      <w:r>
        <w:rPr>
          <w:rFonts w:ascii="Aptos" w:eastAsia="Aptos" w:hAnsi="Aptos" w:cs="Aptos"/>
        </w:rPr>
        <w:t>Re-Audit Plan</w:t>
      </w:r>
    </w:p>
    <w:p w14:paraId="1921C484" w14:textId="77777777" w:rsidR="00815CD5" w:rsidRDefault="00815CD5" w:rsidP="00815CD5">
      <w:r>
        <w:t>The same Thalamus views and tables can be re-run at re-audit to allow direct comparison with baseline findings undertaken after improvement actions have been implemented.  Practices can also take screenshots of the tracking graphs on thalamus to show improvement over time for their repeat audit.</w:t>
      </w:r>
    </w:p>
    <w:p w14:paraId="395609B6" w14:textId="77777777" w:rsidR="006F6420" w:rsidRDefault="00041D25">
      <w:r>
        <w:t>Suggested timeframes (adapt locally):</w:t>
      </w:r>
    </w:p>
    <w:p w14:paraId="34BF50A7" w14:textId="77777777" w:rsidR="006F6420" w:rsidRDefault="00041D25">
      <w:pPr>
        <w:pStyle w:val="ListBullet"/>
      </w:pPr>
      <w:r>
        <w:t>Baseline audit: ___ weeks</w:t>
      </w:r>
    </w:p>
    <w:p w14:paraId="2A85DFBA" w14:textId="77777777" w:rsidR="006F6420" w:rsidRDefault="00041D25">
      <w:pPr>
        <w:pStyle w:val="ListBullet"/>
      </w:pPr>
      <w:r>
        <w:t>Improvement actions: ___ months</w:t>
      </w:r>
    </w:p>
    <w:p w14:paraId="6CE499DD" w14:textId="77777777" w:rsidR="006F6420" w:rsidRDefault="00041D25">
      <w:pPr>
        <w:pStyle w:val="ListBullet"/>
      </w:pPr>
      <w:r>
        <w:t>Re-audit: ___ weeks</w:t>
      </w:r>
    </w:p>
    <w:p w14:paraId="18EFB570" w14:textId="77777777" w:rsidR="006F6420" w:rsidRDefault="00041D25">
      <w:pPr>
        <w:pStyle w:val="ListBullet"/>
      </w:pPr>
      <w:r>
        <w:t>Ongoing monitoring: quarterly or six-monthly</w:t>
      </w:r>
    </w:p>
    <w:p w14:paraId="6FF8640B" w14:textId="07F67201" w:rsidR="006F6420" w:rsidRPr="001B3A78" w:rsidRDefault="00041D25">
      <w:pPr>
        <w:rPr>
          <w:b/>
          <w:bCs/>
        </w:rPr>
      </w:pPr>
      <w:r w:rsidRPr="00815CD5">
        <w:rPr>
          <w:b/>
          <w:bCs/>
        </w:rPr>
        <w:t>WellSouth would greatly appreciate it if practices send their completed audit submission to WellSouth at [WellSouth contact email] so we can learn from your experience and share successful strategies across the network.</w:t>
      </w:r>
      <w:r w:rsidR="001B3A78">
        <w:rPr>
          <w:b/>
          <w:bCs/>
        </w:rPr>
        <w:t xml:space="preserve"> </w:t>
      </w:r>
      <w:r>
        <w:t>Ngā mihi.</w:t>
      </w:r>
    </w:p>
    <w:sectPr w:rsidR="006F6420" w:rsidRPr="001B3A78"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abella Yee" w:date="2026-04-30T11:53:00Z" w:initials="AY">
    <w:p w14:paraId="70C945A7" w14:textId="7EC6F071" w:rsidR="00EA2FEC" w:rsidRDefault="00EA2FEC">
      <w:pPr>
        <w:pStyle w:val="CommentText"/>
      </w:pPr>
      <w:r>
        <w:rPr>
          <w:rStyle w:val="CommentReference"/>
        </w:rPr>
        <w:annotationRef/>
      </w:r>
      <w:r w:rsidRPr="73E23E98">
        <w:t>groups overlap, not sure if to keep this name or not - might be confusing as everything in columns don't add up to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C945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AD63B8" w16cex:dateUtc="2026-04-29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945A7" w16cid:durableId="63AD63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388A" w14:textId="77777777" w:rsidR="00CE0C15" w:rsidRDefault="00CE0C15" w:rsidP="00A30C58">
      <w:pPr>
        <w:spacing w:after="0" w:line="240" w:lineRule="auto"/>
      </w:pPr>
      <w:r>
        <w:separator/>
      </w:r>
    </w:p>
  </w:endnote>
  <w:endnote w:type="continuationSeparator" w:id="0">
    <w:p w14:paraId="39A88364" w14:textId="77777777" w:rsidR="00CE0C15" w:rsidRDefault="00CE0C15" w:rsidP="00A3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B640" w14:textId="77777777" w:rsidR="00276480" w:rsidRDefault="0027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9B11" w14:textId="77777777" w:rsidR="00276480" w:rsidRDefault="0027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BB92" w14:textId="77777777" w:rsidR="00276480" w:rsidRDefault="0027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F7E2" w14:textId="77777777" w:rsidR="00CE0C15" w:rsidRDefault="00CE0C15" w:rsidP="00A30C58">
      <w:pPr>
        <w:spacing w:after="0" w:line="240" w:lineRule="auto"/>
      </w:pPr>
      <w:r>
        <w:separator/>
      </w:r>
    </w:p>
  </w:footnote>
  <w:footnote w:type="continuationSeparator" w:id="0">
    <w:p w14:paraId="55DB33DD" w14:textId="77777777" w:rsidR="00CE0C15" w:rsidRDefault="00CE0C15" w:rsidP="00A3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5934" w14:textId="77777777" w:rsidR="00276480" w:rsidRDefault="0027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40F7" w14:textId="77777777" w:rsidR="00276480" w:rsidRDefault="00CE0C15">
    <w:pPr>
      <w:pStyle w:val="Header"/>
      <w:jc w:val="right"/>
    </w:pPr>
    <w:r>
      <w:rPr>
        <w:noProof/>
      </w:rPr>
      <w:drawing>
        <wp:inline distT="0" distB="0" distL="0" distR="0" wp14:anchorId="2BB3F295" wp14:editId="316E0AA2">
          <wp:extent cx="1620000" cy="53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outh_Logo_horizontal.png"/>
                  <pic:cNvPicPr/>
                </pic:nvPicPr>
                <pic:blipFill>
                  <a:blip r:embed="rId1"/>
                  <a:stretch>
                    <a:fillRect/>
                  </a:stretch>
                </pic:blipFill>
                <pic:spPr>
                  <a:xfrm>
                    <a:off x="0" y="0"/>
                    <a:ext cx="1620000" cy="536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7078" w14:textId="77777777" w:rsidR="00276480" w:rsidRDefault="0027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0385454"/>
    <w:lvl w:ilvl="0">
      <w:start w:val="1"/>
      <w:numFmt w:val="bullet"/>
      <w:pStyle w:val="ListBullet"/>
      <w:lvlText w:val=""/>
      <w:lvlJc w:val="left"/>
      <w:pPr>
        <w:tabs>
          <w:tab w:val="num" w:pos="360"/>
        </w:tabs>
        <w:ind w:left="360" w:hanging="360"/>
      </w:pPr>
      <w:rPr>
        <w:rFonts w:ascii="Symbol" w:hAnsi="Symbol" w:hint="default"/>
      </w:rPr>
    </w:lvl>
  </w:abstractNum>
  <w:num w:numId="1" w16cid:durableId="1118111558">
    <w:abstractNumId w:val="6"/>
  </w:num>
  <w:num w:numId="2" w16cid:durableId="1419251777">
    <w:abstractNumId w:val="0"/>
  </w:num>
  <w:num w:numId="3" w16cid:durableId="174081263">
    <w:abstractNumId w:val="1"/>
  </w:num>
  <w:num w:numId="4" w16cid:durableId="1886671704">
    <w:abstractNumId w:val="5"/>
  </w:num>
  <w:num w:numId="5" w16cid:durableId="189270040">
    <w:abstractNumId w:val="2"/>
  </w:num>
  <w:num w:numId="6" w16cid:durableId="259262981">
    <w:abstractNumId w:val="8"/>
  </w:num>
  <w:num w:numId="7" w16cid:durableId="353849168">
    <w:abstractNumId w:val="4"/>
  </w:num>
  <w:num w:numId="8" w16cid:durableId="466120719">
    <w:abstractNumId w:val="3"/>
  </w:num>
  <w:num w:numId="9" w16cid:durableId="47580569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bella Yee">
    <w15:presenceInfo w15:providerId="AD" w15:userId="S::annabella.yee@wellsouth.org.nz::ad23080f-4c0f-4022-8d66-0924d7353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D25"/>
    <w:rsid w:val="0006063C"/>
    <w:rsid w:val="000976C1"/>
    <w:rsid w:val="000E05E9"/>
    <w:rsid w:val="001114D8"/>
    <w:rsid w:val="001335EF"/>
    <w:rsid w:val="0015074B"/>
    <w:rsid w:val="00154C61"/>
    <w:rsid w:val="001B3A78"/>
    <w:rsid w:val="001C7C23"/>
    <w:rsid w:val="001E09CF"/>
    <w:rsid w:val="002123A6"/>
    <w:rsid w:val="00276480"/>
    <w:rsid w:val="00293BF7"/>
    <w:rsid w:val="0029639D"/>
    <w:rsid w:val="002C5C6D"/>
    <w:rsid w:val="002D2439"/>
    <w:rsid w:val="002F1EBC"/>
    <w:rsid w:val="002F5097"/>
    <w:rsid w:val="002F5E4F"/>
    <w:rsid w:val="00326F90"/>
    <w:rsid w:val="00372C1A"/>
    <w:rsid w:val="00387BE5"/>
    <w:rsid w:val="003E3993"/>
    <w:rsid w:val="004D0FCC"/>
    <w:rsid w:val="004E630C"/>
    <w:rsid w:val="005325AD"/>
    <w:rsid w:val="00551B90"/>
    <w:rsid w:val="00573ACF"/>
    <w:rsid w:val="005B521C"/>
    <w:rsid w:val="005D5F48"/>
    <w:rsid w:val="00637030"/>
    <w:rsid w:val="00661E58"/>
    <w:rsid w:val="00692B8A"/>
    <w:rsid w:val="006A4E99"/>
    <w:rsid w:val="006F6420"/>
    <w:rsid w:val="00725E53"/>
    <w:rsid w:val="00727B55"/>
    <w:rsid w:val="007E3A0A"/>
    <w:rsid w:val="007E7C2F"/>
    <w:rsid w:val="007F1F78"/>
    <w:rsid w:val="00815CD5"/>
    <w:rsid w:val="00895984"/>
    <w:rsid w:val="008B01E0"/>
    <w:rsid w:val="008D3333"/>
    <w:rsid w:val="00972F1D"/>
    <w:rsid w:val="009B50D9"/>
    <w:rsid w:val="009B7F0F"/>
    <w:rsid w:val="009C1CAA"/>
    <w:rsid w:val="009C3BFE"/>
    <w:rsid w:val="00A30C58"/>
    <w:rsid w:val="00A96078"/>
    <w:rsid w:val="00AA1D8D"/>
    <w:rsid w:val="00B01F80"/>
    <w:rsid w:val="00B12763"/>
    <w:rsid w:val="00B47730"/>
    <w:rsid w:val="00B53849"/>
    <w:rsid w:val="00B646BF"/>
    <w:rsid w:val="00B85A30"/>
    <w:rsid w:val="00BB6C4D"/>
    <w:rsid w:val="00BD5C7F"/>
    <w:rsid w:val="00BD6A61"/>
    <w:rsid w:val="00BF4F64"/>
    <w:rsid w:val="00BF75DE"/>
    <w:rsid w:val="00CB0664"/>
    <w:rsid w:val="00CE0C15"/>
    <w:rsid w:val="00D15117"/>
    <w:rsid w:val="00D21AB4"/>
    <w:rsid w:val="00DB6B0C"/>
    <w:rsid w:val="00E41C3B"/>
    <w:rsid w:val="00E9592D"/>
    <w:rsid w:val="00EA2FEC"/>
    <w:rsid w:val="00EC54CE"/>
    <w:rsid w:val="00F32F64"/>
    <w:rsid w:val="00F36757"/>
    <w:rsid w:val="00F637EF"/>
    <w:rsid w:val="00F66C27"/>
    <w:rsid w:val="00FB36F9"/>
    <w:rsid w:val="00FC5EDA"/>
    <w:rsid w:val="00FC693F"/>
    <w:rsid w:val="00FD1D9C"/>
    <w:rsid w:val="01B28EE7"/>
    <w:rsid w:val="043252C9"/>
    <w:rsid w:val="0432E04F"/>
    <w:rsid w:val="053756CC"/>
    <w:rsid w:val="05DB665C"/>
    <w:rsid w:val="09317669"/>
    <w:rsid w:val="0A89C277"/>
    <w:rsid w:val="0CC85F64"/>
    <w:rsid w:val="0D750F08"/>
    <w:rsid w:val="10D97019"/>
    <w:rsid w:val="12CCF97D"/>
    <w:rsid w:val="14926B1A"/>
    <w:rsid w:val="1710637A"/>
    <w:rsid w:val="17755822"/>
    <w:rsid w:val="18395846"/>
    <w:rsid w:val="1AE1B6AE"/>
    <w:rsid w:val="1E0BC324"/>
    <w:rsid w:val="1F7060C7"/>
    <w:rsid w:val="20372630"/>
    <w:rsid w:val="205ED5AA"/>
    <w:rsid w:val="2709B540"/>
    <w:rsid w:val="2D408271"/>
    <w:rsid w:val="2EB9C25E"/>
    <w:rsid w:val="3699ECE9"/>
    <w:rsid w:val="39EE206F"/>
    <w:rsid w:val="3BA85219"/>
    <w:rsid w:val="3D03153B"/>
    <w:rsid w:val="3D6DC40D"/>
    <w:rsid w:val="3F09CE96"/>
    <w:rsid w:val="41C55ACB"/>
    <w:rsid w:val="4392C69C"/>
    <w:rsid w:val="463814F8"/>
    <w:rsid w:val="47827693"/>
    <w:rsid w:val="481E7D51"/>
    <w:rsid w:val="499AA7CF"/>
    <w:rsid w:val="4A61CDE2"/>
    <w:rsid w:val="4C39A3C7"/>
    <w:rsid w:val="4C762043"/>
    <w:rsid w:val="4E43169A"/>
    <w:rsid w:val="4EC81CF6"/>
    <w:rsid w:val="4FFC28A5"/>
    <w:rsid w:val="52C77941"/>
    <w:rsid w:val="5354B497"/>
    <w:rsid w:val="54275A9E"/>
    <w:rsid w:val="54BA4DD6"/>
    <w:rsid w:val="55704035"/>
    <w:rsid w:val="59A92AE9"/>
    <w:rsid w:val="59D43F76"/>
    <w:rsid w:val="59ED05F5"/>
    <w:rsid w:val="61B9B9AA"/>
    <w:rsid w:val="66064323"/>
    <w:rsid w:val="6AE9453D"/>
    <w:rsid w:val="6ED4F6A8"/>
    <w:rsid w:val="6EEFDA7E"/>
    <w:rsid w:val="7091FF28"/>
    <w:rsid w:val="727CE75B"/>
    <w:rsid w:val="72AAECDB"/>
    <w:rsid w:val="72C3FA39"/>
    <w:rsid w:val="75F95906"/>
    <w:rsid w:val="75F9FA76"/>
    <w:rsid w:val="7647E1BF"/>
    <w:rsid w:val="7750BA96"/>
    <w:rsid w:val="77BF7DE2"/>
    <w:rsid w:val="7C48BAB0"/>
    <w:rsid w:val="7D8EC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CA5044"/>
  <w14:defaultImageDpi w14:val="300"/>
  <w15:docId w15:val="{8B459549-7DA5-421F-8804-A46B50BF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s="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eastAsia="Aptos" w:hAnsi="Aptos" w:cs="Aptos"/>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eastAsia="Aptos" w:hAnsi="Aptos" w:cs="Aptos"/>
    </w:rPr>
  </w:style>
  <w:style w:type="paragraph" w:styleId="NoSpacing">
    <w:name w:val="No Spacing"/>
    <w:uiPriority w:val="1"/>
    <w:qFormat/>
    <w:rsid w:val="00FC693F"/>
    <w:pPr>
      <w:spacing w:after="0" w:line="240" w:lineRule="auto"/>
    </w:pPr>
    <w:rPr>
      <w:rFonts w:ascii="Aptos" w:eastAsia="Aptos" w:hAnsi="Aptos" w:cs="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eastAsia="Aptos" w:hAnsi="Aptos" w:cs="Aptos"/>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eastAsia="Aptos" w:hAnsi="Aptos" w:cs="Aptos"/>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ptos" w:eastAsia="Aptos" w:hAnsi="Aptos" w:cs="Aptos"/>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eastAsia="Aptos" w:hAnsi="Aptos" w:cs="Aptos"/>
      <w:sz w:val="20"/>
      <w:szCs w:val="20"/>
    </w:rPr>
  </w:style>
  <w:style w:type="character" w:customStyle="1" w:styleId="MacroTextChar">
    <w:name w:val="Macro Text Char"/>
    <w:basedOn w:val="DefaultParagraphFont"/>
    <w:link w:val="MacroText"/>
    <w:uiPriority w:val="99"/>
    <w:rsid w:val="0029639D"/>
    <w:rPr>
      <w:rFonts w:ascii="Aptos" w:eastAsia="Aptos" w:hAnsi="Aptos" w:cs="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eastAsia="Aptos" w:hAnsi="Aptos" w:cs="Aptos"/>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rFonts w:ascii="Aptos" w:eastAsia="Aptos" w:hAnsi="Aptos" w:cs="Aptos"/>
      <w:b/>
      <w:bCs/>
    </w:rPr>
  </w:style>
  <w:style w:type="character" w:styleId="Emphasis">
    <w:name w:val="Emphasis"/>
    <w:basedOn w:val="DefaultParagraphFont"/>
    <w:uiPriority w:val="20"/>
    <w:qFormat/>
    <w:rsid w:val="00FC693F"/>
    <w:rPr>
      <w:rFonts w:ascii="Aptos" w:eastAsia="Aptos" w:hAnsi="Aptos" w:cs="Aptos"/>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eastAsia="Aptos" w:hAnsi="Aptos" w:cs="Aptos"/>
      <w:b/>
      <w:bCs/>
      <w:i/>
      <w:iCs/>
      <w:color w:val="4F81BD" w:themeColor="accent1"/>
    </w:rPr>
  </w:style>
  <w:style w:type="character" w:styleId="SubtleEmphasis">
    <w:name w:val="Subtle Emphasis"/>
    <w:basedOn w:val="DefaultParagraphFont"/>
    <w:uiPriority w:val="19"/>
    <w:qFormat/>
    <w:rsid w:val="00FC693F"/>
    <w:rPr>
      <w:rFonts w:ascii="Aptos" w:eastAsia="Aptos" w:hAnsi="Aptos" w:cs="Aptos"/>
      <w:i/>
      <w:iCs/>
      <w:color w:val="808080" w:themeColor="text1" w:themeTint="7F"/>
    </w:rPr>
  </w:style>
  <w:style w:type="character" w:styleId="IntenseEmphasis">
    <w:name w:val="Intense Emphasis"/>
    <w:basedOn w:val="DefaultParagraphFont"/>
    <w:uiPriority w:val="21"/>
    <w:qFormat/>
    <w:rsid w:val="00FC693F"/>
    <w:rPr>
      <w:rFonts w:ascii="Aptos" w:eastAsia="Aptos" w:hAnsi="Aptos" w:cs="Aptos"/>
      <w:b/>
      <w:bCs/>
      <w:i/>
      <w:iCs/>
      <w:color w:val="4F81BD" w:themeColor="accent1"/>
    </w:rPr>
  </w:style>
  <w:style w:type="character" w:styleId="SubtleReference">
    <w:name w:val="Subtle Reference"/>
    <w:basedOn w:val="DefaultParagraphFont"/>
    <w:uiPriority w:val="31"/>
    <w:qFormat/>
    <w:rsid w:val="00FC693F"/>
    <w:rPr>
      <w:rFonts w:ascii="Aptos" w:eastAsia="Aptos" w:hAnsi="Aptos" w:cs="Aptos"/>
      <w:smallCaps/>
      <w:color w:val="C0504D" w:themeColor="accent2"/>
      <w:u w:val="single"/>
    </w:rPr>
  </w:style>
  <w:style w:type="character" w:styleId="IntenseReference">
    <w:name w:val="Intense Reference"/>
    <w:basedOn w:val="DefaultParagraphFont"/>
    <w:uiPriority w:val="32"/>
    <w:qFormat/>
    <w:rsid w:val="00FC693F"/>
    <w:rPr>
      <w:rFonts w:ascii="Aptos" w:eastAsia="Aptos" w:hAnsi="Aptos" w:cs="Aptos"/>
      <w:b/>
      <w:bCs/>
      <w:smallCaps/>
      <w:color w:val="C0504D" w:themeColor="accent2"/>
      <w:spacing w:val="5"/>
      <w:u w:val="single"/>
    </w:rPr>
  </w:style>
  <w:style w:type="character" w:styleId="BookTitle">
    <w:name w:val="Book Title"/>
    <w:basedOn w:val="DefaultParagraphFont"/>
    <w:uiPriority w:val="33"/>
    <w:qFormat/>
    <w:rsid w:val="00FC693F"/>
    <w:rPr>
      <w:rFonts w:ascii="Aptos" w:eastAsia="Aptos" w:hAnsi="Aptos" w:cs="Aptos"/>
      <w:b/>
      <w:bCs/>
      <w:smallCaps/>
      <w:spacing w:val="5"/>
    </w:rPr>
  </w:style>
  <w:style w:type="paragraph" w:styleId="TOCHeading">
    <w:name w:val="TOC Heading"/>
    <w:basedOn w:val="Heading1"/>
    <w:next w:val="Normal"/>
    <w:uiPriority w:val="39"/>
    <w:semiHidden/>
    <w:unhideWhenUsed/>
    <w:qFormat/>
    <w:rsid w:val="00FC693F"/>
    <w:pPr>
      <w:outlineLvl w:val="9"/>
    </w:pPr>
    <w:rPr>
      <w:rFonts w:ascii="Aptos" w:eastAsia="Aptos" w:hAnsi="Aptos" w:cs="Aptos"/>
    </w:rPr>
  </w:style>
  <w:style w:type="table" w:styleId="TableGrid">
    <w:name w:val="Table Grid"/>
    <w:basedOn w:val="TableNormal"/>
    <w:uiPriority w:val="59"/>
    <w:rsid w:val="00FC693F"/>
    <w:pPr>
      <w:spacing w:after="0" w:line="240" w:lineRule="auto"/>
    </w:pPr>
    <w:rPr>
      <w:rFonts w:ascii="Aptos" w:eastAsia="Aptos" w:hAnsi="Apto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Aptos" w:eastAsia="Aptos" w:hAnsi="Aptos" w:cs="Apto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ptos" w:eastAsia="Aptos" w:hAnsi="Aptos" w:cs="Aptos"/>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ptos" w:eastAsia="Aptos" w:hAnsi="Aptos" w:cs="Aptos"/>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ptos" w:eastAsia="Aptos" w:hAnsi="Aptos" w:cs="Aptos"/>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ptos" w:eastAsia="Aptos" w:hAnsi="Aptos" w:cs="Aptos"/>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ptos" w:eastAsia="Aptos" w:hAnsi="Aptos" w:cs="Aptos"/>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ptos" w:eastAsia="Aptos" w:hAnsi="Aptos" w:cs="Aptos"/>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ptos" w:eastAsia="Aptos" w:hAnsi="Aptos" w:cs="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ptos" w:eastAsia="Aptos" w:hAnsi="Aptos" w:cs="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92B8A"/>
    <w:rPr>
      <w:rFonts w:ascii="Aptos" w:eastAsia="Aptos" w:hAnsi="Aptos" w:cs="Aptos"/>
      <w:sz w:val="16"/>
      <w:szCs w:val="16"/>
    </w:rPr>
  </w:style>
  <w:style w:type="paragraph" w:styleId="CommentText">
    <w:name w:val="annotation text"/>
    <w:basedOn w:val="Normal"/>
    <w:link w:val="CommentTextChar"/>
    <w:uiPriority w:val="99"/>
    <w:unhideWhenUsed/>
    <w:rsid w:val="00692B8A"/>
    <w:pPr>
      <w:spacing w:line="240" w:lineRule="auto"/>
    </w:pPr>
    <w:rPr>
      <w:sz w:val="20"/>
      <w:szCs w:val="20"/>
    </w:rPr>
  </w:style>
  <w:style w:type="character" w:customStyle="1" w:styleId="CommentTextChar">
    <w:name w:val="Comment Text Char"/>
    <w:basedOn w:val="DefaultParagraphFont"/>
    <w:link w:val="CommentText"/>
    <w:uiPriority w:val="99"/>
    <w:rsid w:val="00692B8A"/>
    <w:rPr>
      <w:rFonts w:ascii="Aptos" w:eastAsia="Aptos" w:hAnsi="Aptos" w:cs="Aptos"/>
      <w:sz w:val="20"/>
      <w:szCs w:val="20"/>
    </w:rPr>
  </w:style>
  <w:style w:type="paragraph" w:styleId="Revision">
    <w:name w:val="Revision"/>
    <w:hidden/>
    <w:uiPriority w:val="99"/>
    <w:semiHidden/>
    <w:rsid w:val="00727B55"/>
    <w:pPr>
      <w:spacing w:after="0" w:line="240" w:lineRule="auto"/>
    </w:pPr>
    <w:rPr>
      <w:rFonts w:ascii="Aptos" w:eastAsia="Aptos" w:hAnsi="Aptos" w:cs="Aptos"/>
    </w:rPr>
  </w:style>
  <w:style w:type="character" w:styleId="Hyperlink">
    <w:name w:val="Hyperlink"/>
    <w:basedOn w:val="DefaultParagraphFont"/>
    <w:uiPriority w:val="99"/>
    <w:unhideWhenUsed/>
    <w:rsid w:val="001B3A78"/>
    <w:rPr>
      <w:rFonts w:ascii="Aptos" w:eastAsia="Aptos" w:hAnsi="Aptos" w:cs="Aptos"/>
      <w:color w:val="0000FF" w:themeColor="hyperlink"/>
      <w:u w:val="single"/>
    </w:rPr>
  </w:style>
  <w:style w:type="character" w:styleId="UnresolvedMention">
    <w:name w:val="Unresolved Mention"/>
    <w:basedOn w:val="DefaultParagraphFont"/>
    <w:uiPriority w:val="99"/>
    <w:semiHidden/>
    <w:unhideWhenUsed/>
    <w:rsid w:val="001B3A78"/>
    <w:rPr>
      <w:rFonts w:ascii="Aptos" w:eastAsia="Aptos" w:hAnsi="Aptos" w:cs="Aptos"/>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thalamus.nz%2F%3Freport-key%3D713&amp;data=05%7C02%7CJenny.Macdiarmid%40wellsouth.org.nz%7Ca22521da10024e4d6ac008ded72219bc%7Cf4cab298285940c9b7a21c7888ea0f08%7C0%7C0%7C639184738629789199%7CUnknown%7CTWFpbGZsb3d8eyJFbXB0eU1hcGkiOnRydWUsIlYiOiIwLjAuMDAwMCIsIlAiOiJXaW4zMiIsIkFOIjoiTWFpbCIsIldUIjoyfQ%3D%3D%7C0%7C%7C%7C&amp;sdata=z3KdXor4fzf7JVqh8tBRKLdvWKRy%2FdbxFCqZqSkbyTs%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us01.safelinks.protection.outlook.com/?url=https%3A%2F%2Fthalamus.nz%2F%3Freport-key%3D713&amp;data=05%7C02%7CJenny.Macdiarmid%40wellsouth.org.nz%7Ca22521da10024e4d6ac008ded72219bc%7Cf4cab298285940c9b7a21c7888ea0f08%7C0%7C0%7C639184738629789199%7CUnknown%7CTWFpbGZsb3d8eyJFbXB0eU1hcGkiOnRydWUsIlYiOiIwLjAuMDAwMCIsIlAiOiJXaW4zMiIsIkFOIjoiTWFpbCIsIldUIjoyfQ%3D%3D%7C0%7C%7C%7C&amp;sdata=z3KdXor4fzf7JVqh8tBRKLdvWKRy%2FdbxFCqZqSkbyTs%3D&amp;reserved=0" TargetMode="Externa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1303</Words>
  <Characters>7353</Characters>
  <Application>Microsoft Office Word</Application>
  <DocSecurity>0</DocSecurity>
  <Lines>525</Lines>
  <Paragraphs>196</Paragraphs>
  <ScaleCrop>false</ScaleCrop>
  <Manager/>
  <Company/>
  <LinksUpToDate>false</LinksUpToDate>
  <CharactersWithSpaces>8460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Maryke Benadé</cp:lastModifiedBy>
  <cp:revision>4</cp:revision>
  <cp:lastPrinted>2026-05-04T21:30:00Z</cp:lastPrinted>
  <dcterms:created xsi:type="dcterms:W3CDTF">2026-07-03T00:46:00Z</dcterms:created>
  <dcterms:modified xsi:type="dcterms:W3CDTF">2026-07-03T01:34:00Z</dcterms:modified>
  <cp:category/>
</cp:coreProperties>
</file>