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12" w:rsidRPr="001162FE" w:rsidRDefault="00123A68" w:rsidP="001162FE">
      <w:pPr>
        <w:jc w:val="center"/>
        <w:rPr>
          <w:b/>
          <w:sz w:val="28"/>
          <w:szCs w:val="28"/>
        </w:rPr>
      </w:pPr>
      <w:r w:rsidRPr="00123A68">
        <w:rPr>
          <w:noProof/>
          <w:lang w:eastAsia="en-NZ"/>
        </w:rPr>
        <w:drawing>
          <wp:inline distT="0" distB="0" distL="0" distR="0" wp14:anchorId="7ED633EB" wp14:editId="7A92C0F8">
            <wp:extent cx="1866900" cy="622184"/>
            <wp:effectExtent l="0" t="0" r="0" b="6985"/>
            <wp:docPr id="2" name="Picture 2" descr="L:\WellSouth Stationery\Logos\Colour\WS_logo_horizontal\Wellsouth_horizontal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WellSouth Stationery\Logos\Colour\WS_logo_horizontal\Wellsouth_horizontal_hi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00" cy="64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 w:rsidR="00B44145">
        <w:rPr>
          <w:b/>
          <w:sz w:val="28"/>
          <w:szCs w:val="28"/>
        </w:rPr>
        <w:t>Genital Herpes Standing Order</w:t>
      </w:r>
      <w:r w:rsidRPr="00123A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2268"/>
      </w:tblGrid>
      <w:tr w:rsidR="001162FE" w:rsidTr="00877CF2">
        <w:trPr>
          <w:jc w:val="center"/>
        </w:trPr>
        <w:tc>
          <w:tcPr>
            <w:tcW w:w="1555" w:type="dxa"/>
          </w:tcPr>
          <w:p w:rsidR="001162FE" w:rsidRDefault="001162FE">
            <w:r>
              <w:t>Issue date:</w:t>
            </w:r>
          </w:p>
        </w:tc>
        <w:tc>
          <w:tcPr>
            <w:tcW w:w="1984" w:type="dxa"/>
          </w:tcPr>
          <w:p w:rsidR="001162FE" w:rsidRDefault="001162FE"/>
        </w:tc>
        <w:tc>
          <w:tcPr>
            <w:tcW w:w="1843" w:type="dxa"/>
          </w:tcPr>
          <w:p w:rsidR="001162FE" w:rsidRDefault="001162FE">
            <w:r>
              <w:t>Review date:</w:t>
            </w:r>
          </w:p>
        </w:tc>
        <w:tc>
          <w:tcPr>
            <w:tcW w:w="2268" w:type="dxa"/>
          </w:tcPr>
          <w:p w:rsidR="001162FE" w:rsidRDefault="001162FE"/>
        </w:tc>
      </w:tr>
    </w:tbl>
    <w:p w:rsidR="001162FE" w:rsidRDefault="001162FE"/>
    <w:p w:rsidR="001162FE" w:rsidRDefault="001162FE">
      <w:r>
        <w:t>This standing order is not valid after the review date.</w:t>
      </w:r>
      <w:r w:rsidR="00877CF2">
        <w:t xml:space="preserve"> The review date is one year after the date the order was signed by the issuer.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Standing Order Name</w:t>
            </w:r>
          </w:p>
        </w:tc>
        <w:tc>
          <w:tcPr>
            <w:tcW w:w="8073" w:type="dxa"/>
          </w:tcPr>
          <w:p w:rsidR="001162FE" w:rsidRDefault="00B44145">
            <w:r>
              <w:t xml:space="preserve">Genital Herpes 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Rationale</w:t>
            </w:r>
          </w:p>
        </w:tc>
        <w:tc>
          <w:tcPr>
            <w:tcW w:w="8073" w:type="dxa"/>
          </w:tcPr>
          <w:p w:rsidR="001162FE" w:rsidRDefault="00B44145" w:rsidP="005F100F">
            <w:r>
              <w:t>To r</w:t>
            </w:r>
            <w:r w:rsidR="005F100F">
              <w:t xml:space="preserve">educe the morbidity </w:t>
            </w:r>
            <w:r>
              <w:t>associated with herpes simplex infections (primary or recurrent).</w:t>
            </w:r>
          </w:p>
        </w:tc>
      </w:tr>
      <w:tr w:rsidR="001162FE" w:rsidTr="001162FE">
        <w:tc>
          <w:tcPr>
            <w:tcW w:w="2689" w:type="dxa"/>
          </w:tcPr>
          <w:p w:rsidR="00877CF2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Scope (condition and patient group)</w:t>
            </w:r>
          </w:p>
        </w:tc>
        <w:tc>
          <w:tcPr>
            <w:tcW w:w="8073" w:type="dxa"/>
          </w:tcPr>
          <w:p w:rsidR="001162FE" w:rsidRPr="005F100F" w:rsidRDefault="00CF7D70" w:rsidP="009879B3">
            <w:r>
              <w:t xml:space="preserve">All adult </w:t>
            </w:r>
            <w:r w:rsidR="009879B3">
              <w:t xml:space="preserve">non-pregnant, non-immunocompromised </w:t>
            </w:r>
            <w:r>
              <w:t>patients that present with symptoms suggestive of herpes simplex lesions</w:t>
            </w:r>
            <w:r w:rsidR="009879B3">
              <w:t xml:space="preserve">. </w:t>
            </w:r>
            <w:r>
              <w:t xml:space="preserve"> </w:t>
            </w:r>
          </w:p>
        </w:tc>
      </w:tr>
      <w:tr w:rsidR="000E47A6" w:rsidTr="001162FE">
        <w:tc>
          <w:tcPr>
            <w:tcW w:w="2689" w:type="dxa"/>
          </w:tcPr>
          <w:p w:rsidR="000E47A6" w:rsidRPr="0064385C" w:rsidRDefault="000E47A6">
            <w:pPr>
              <w:rPr>
                <w:b/>
              </w:rPr>
            </w:pPr>
            <w:r>
              <w:rPr>
                <w:b/>
              </w:rPr>
              <w:t>Red Flags</w:t>
            </w:r>
          </w:p>
        </w:tc>
        <w:tc>
          <w:tcPr>
            <w:tcW w:w="8073" w:type="dxa"/>
          </w:tcPr>
          <w:p w:rsidR="000E47A6" w:rsidRDefault="00A0638D">
            <w:r w:rsidRPr="00A0638D">
              <w:t>If patient is immunosuppressed or acute severe systemic infection, consider referral for infectious diseases assessment.</w:t>
            </w:r>
          </w:p>
          <w:p w:rsidR="003B535E" w:rsidRPr="00C1743C" w:rsidRDefault="003B535E" w:rsidP="003B535E">
            <w:r w:rsidRPr="00C1743C">
              <w:rPr>
                <w:bCs/>
              </w:rPr>
              <w:t>Complications include:</w:t>
            </w:r>
            <w:bookmarkStart w:id="0" w:name="_GoBack"/>
            <w:bookmarkEnd w:id="0"/>
          </w:p>
          <w:p w:rsidR="003B535E" w:rsidRPr="003B535E" w:rsidRDefault="003B535E" w:rsidP="003B535E">
            <w:pPr>
              <w:numPr>
                <w:ilvl w:val="1"/>
                <w:numId w:val="7"/>
              </w:numPr>
            </w:pPr>
            <w:r w:rsidRPr="003B535E">
              <w:t xml:space="preserve">Acute urinary retention in females secondary to </w:t>
            </w:r>
            <w:proofErr w:type="spellStart"/>
            <w:r w:rsidRPr="003B535E">
              <w:t>vulvo</w:t>
            </w:r>
            <w:proofErr w:type="spellEnd"/>
            <w:r w:rsidRPr="003B535E">
              <w:t xml:space="preserve">-vaginal discomfort may require </w:t>
            </w:r>
            <w:hyperlink r:id="rId8" w:tgtFrame="_self" w:tooltip="Urinary Catheters" w:history="1">
              <w:r w:rsidRPr="003B535E">
                <w:rPr>
                  <w:rStyle w:val="Hyperlink"/>
                </w:rPr>
                <w:t>catheterisation</w:t>
              </w:r>
            </w:hyperlink>
            <w:r w:rsidRPr="003B535E">
              <w:t>.</w:t>
            </w:r>
          </w:p>
          <w:p w:rsidR="003B535E" w:rsidRPr="003B535E" w:rsidRDefault="00C1743C" w:rsidP="003B535E">
            <w:pPr>
              <w:numPr>
                <w:ilvl w:val="1"/>
                <w:numId w:val="7"/>
              </w:numPr>
            </w:pPr>
            <w:r>
              <w:t xml:space="preserve">Acute </w:t>
            </w:r>
            <w:proofErr w:type="spellStart"/>
            <w:r>
              <w:t>radiculitis</w:t>
            </w:r>
            <w:proofErr w:type="spellEnd"/>
            <w:r>
              <w:t>:</w:t>
            </w:r>
          </w:p>
          <w:p w:rsidR="003B535E" w:rsidRPr="003B535E" w:rsidRDefault="003B535E" w:rsidP="003B535E">
            <w:pPr>
              <w:numPr>
                <w:ilvl w:val="2"/>
                <w:numId w:val="7"/>
              </w:numPr>
            </w:pPr>
            <w:proofErr w:type="gramStart"/>
            <w:r w:rsidRPr="003B535E">
              <w:t>may</w:t>
            </w:r>
            <w:proofErr w:type="gramEnd"/>
            <w:r w:rsidRPr="003B535E">
              <w:t xml:space="preserve"> cause acute urinary retention, constipation, erectile dysfunction, and sacral neuralgia.</w:t>
            </w:r>
          </w:p>
          <w:p w:rsidR="003B535E" w:rsidRPr="003B535E" w:rsidRDefault="003B535E" w:rsidP="003B535E">
            <w:pPr>
              <w:numPr>
                <w:ilvl w:val="2"/>
                <w:numId w:val="7"/>
              </w:numPr>
            </w:pPr>
            <w:proofErr w:type="gramStart"/>
            <w:r w:rsidRPr="003B535E">
              <w:t>is</w:t>
            </w:r>
            <w:proofErr w:type="gramEnd"/>
            <w:r w:rsidRPr="003B535E">
              <w:t xml:space="preserve"> usually self-limiting and tends to resolve in 1 to 2 weeks.</w:t>
            </w:r>
          </w:p>
          <w:p w:rsidR="003B535E" w:rsidRPr="003B535E" w:rsidRDefault="003B535E" w:rsidP="003B535E">
            <w:pPr>
              <w:numPr>
                <w:ilvl w:val="1"/>
                <w:numId w:val="7"/>
              </w:numPr>
            </w:pPr>
            <w:r w:rsidRPr="003B535E">
              <w:t>Acute lymphocytic meningitis</w:t>
            </w:r>
          </w:p>
          <w:p w:rsidR="003B535E" w:rsidRPr="003B535E" w:rsidRDefault="003B535E" w:rsidP="003B535E">
            <w:pPr>
              <w:numPr>
                <w:ilvl w:val="1"/>
                <w:numId w:val="7"/>
              </w:numPr>
            </w:pPr>
            <w:r w:rsidRPr="003B535E">
              <w:t xml:space="preserve">Erythema </w:t>
            </w:r>
            <w:proofErr w:type="spellStart"/>
            <w:r w:rsidRPr="003B535E">
              <w:t>multiforme</w:t>
            </w:r>
            <w:proofErr w:type="spellEnd"/>
            <w:r w:rsidRPr="003B535E">
              <w:t xml:space="preserve">: </w:t>
            </w:r>
          </w:p>
          <w:p w:rsidR="003B535E" w:rsidRPr="003B535E" w:rsidRDefault="003B535E" w:rsidP="003B535E">
            <w:pPr>
              <w:numPr>
                <w:ilvl w:val="2"/>
                <w:numId w:val="7"/>
              </w:numPr>
            </w:pPr>
            <w:r w:rsidRPr="003B535E">
              <w:t>HSV is a common predisposing trigger</w:t>
            </w:r>
          </w:p>
          <w:p w:rsidR="003B535E" w:rsidRPr="003B535E" w:rsidRDefault="003B535E" w:rsidP="003B535E">
            <w:pPr>
              <w:numPr>
                <w:ilvl w:val="2"/>
                <w:numId w:val="7"/>
              </w:numPr>
            </w:pPr>
            <w:r w:rsidRPr="003B535E">
              <w:t>Mild forms are common</w:t>
            </w:r>
          </w:p>
          <w:p w:rsidR="003B535E" w:rsidRPr="003B535E" w:rsidRDefault="003B535E" w:rsidP="003B535E">
            <w:pPr>
              <w:numPr>
                <w:ilvl w:val="2"/>
                <w:numId w:val="7"/>
              </w:numPr>
            </w:pPr>
            <w:r w:rsidRPr="003B535E">
              <w:t>It usually resolves within 7 to 10 days.</w:t>
            </w:r>
          </w:p>
          <w:p w:rsidR="003B535E" w:rsidRPr="003B535E" w:rsidRDefault="003B535E" w:rsidP="003B535E">
            <w:pPr>
              <w:numPr>
                <w:ilvl w:val="2"/>
                <w:numId w:val="7"/>
              </w:numPr>
            </w:pPr>
            <w:r w:rsidRPr="003B535E">
              <w:t xml:space="preserve">Stevens-Johnson syndrome (erythema </w:t>
            </w:r>
            <w:proofErr w:type="spellStart"/>
            <w:r w:rsidRPr="003B535E">
              <w:t>multiforme</w:t>
            </w:r>
            <w:proofErr w:type="spellEnd"/>
            <w:r w:rsidRPr="003B535E">
              <w:t xml:space="preserve"> major) is a related, much less common, but much more serious condition. Hospitalisation for supportive cares is indicated.</w:t>
            </w:r>
          </w:p>
          <w:p w:rsidR="003B535E" w:rsidRDefault="003B535E" w:rsidP="00C74F8A">
            <w:pPr>
              <w:numPr>
                <w:ilvl w:val="1"/>
                <w:numId w:val="7"/>
              </w:numPr>
            </w:pPr>
            <w:r w:rsidRPr="003B535E">
              <w:t xml:space="preserve">HSV </w:t>
            </w:r>
            <w:proofErr w:type="spellStart"/>
            <w:r w:rsidRPr="003B535E">
              <w:t>viraemia</w:t>
            </w:r>
            <w:proofErr w:type="spellEnd"/>
            <w:r w:rsidRPr="003B535E">
              <w:t xml:space="preserve"> – hepatitis, pneumonitis and other organ involvement may occur, with or without vesicular skin lesions.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Assessment</w:t>
            </w:r>
          </w:p>
        </w:tc>
        <w:tc>
          <w:tcPr>
            <w:tcW w:w="8073" w:type="dxa"/>
          </w:tcPr>
          <w:p w:rsidR="005F100F" w:rsidRPr="00A8391A" w:rsidRDefault="00A8391A" w:rsidP="005F100F">
            <w:r>
              <w:rPr>
                <w:bCs/>
              </w:rPr>
              <w:t xml:space="preserve">1. </w:t>
            </w:r>
            <w:r w:rsidR="005F100F" w:rsidRPr="00A8391A">
              <w:rPr>
                <w:bCs/>
              </w:rPr>
              <w:t>Signs and symptoms</w:t>
            </w:r>
          </w:p>
          <w:p w:rsidR="005F100F" w:rsidRPr="005F100F" w:rsidRDefault="005F100F" w:rsidP="005F100F">
            <w:pPr>
              <w:numPr>
                <w:ilvl w:val="1"/>
                <w:numId w:val="1"/>
              </w:numPr>
            </w:pPr>
            <w:r w:rsidRPr="005F100F">
              <w:t xml:space="preserve">Blisters or ulcers in the </w:t>
            </w:r>
            <w:proofErr w:type="spellStart"/>
            <w:r w:rsidRPr="005F100F">
              <w:t>anogenital</w:t>
            </w:r>
            <w:proofErr w:type="spellEnd"/>
            <w:r w:rsidRPr="005F100F">
              <w:t xml:space="preserve"> region (including buttocks, sacral area and upper thigh). Lesions may be atypical.</w:t>
            </w:r>
          </w:p>
          <w:p w:rsidR="005F100F" w:rsidRPr="005F100F" w:rsidRDefault="005F100F" w:rsidP="005F100F">
            <w:pPr>
              <w:numPr>
                <w:ilvl w:val="1"/>
                <w:numId w:val="1"/>
              </w:numPr>
            </w:pPr>
            <w:r w:rsidRPr="005F100F">
              <w:t xml:space="preserve">Groin, leg, or buttock pain. </w:t>
            </w:r>
          </w:p>
          <w:p w:rsidR="005F100F" w:rsidRPr="005F100F" w:rsidRDefault="005F100F" w:rsidP="005F100F">
            <w:pPr>
              <w:numPr>
                <w:ilvl w:val="1"/>
                <w:numId w:val="1"/>
              </w:numPr>
            </w:pPr>
            <w:r w:rsidRPr="005F100F">
              <w:t>Vaginal or urethral discharge with cervical or urethral lesions.</w:t>
            </w:r>
          </w:p>
          <w:p w:rsidR="005F100F" w:rsidRPr="005F100F" w:rsidRDefault="005F100F" w:rsidP="005F100F">
            <w:pPr>
              <w:numPr>
                <w:ilvl w:val="1"/>
                <w:numId w:val="1"/>
              </w:numPr>
            </w:pPr>
            <w:r w:rsidRPr="005F100F">
              <w:t>Fever, malaise, myalgia, headache.</w:t>
            </w:r>
          </w:p>
          <w:p w:rsidR="005F100F" w:rsidRPr="005F100F" w:rsidRDefault="001C6F45" w:rsidP="005F100F">
            <w:pPr>
              <w:numPr>
                <w:ilvl w:val="1"/>
                <w:numId w:val="1"/>
              </w:numPr>
            </w:pPr>
            <w:r>
              <w:t>Inguinal lymphadenopathy (swollen lymph nodes in the groin)</w:t>
            </w:r>
            <w:r w:rsidR="005F100F" w:rsidRPr="005F100F">
              <w:t xml:space="preserve"> </w:t>
            </w:r>
          </w:p>
          <w:p w:rsidR="005F100F" w:rsidRDefault="005F100F" w:rsidP="005F100F">
            <w:pPr>
              <w:numPr>
                <w:ilvl w:val="1"/>
                <w:numId w:val="1"/>
              </w:numPr>
            </w:pPr>
            <w:r w:rsidRPr="005F100F">
              <w:t>Cervicitis, urethritis.</w:t>
            </w:r>
          </w:p>
          <w:p w:rsidR="00A8391A" w:rsidRPr="00A8391A" w:rsidRDefault="00A8391A" w:rsidP="00A8391A">
            <w:pPr>
              <w:ind w:left="1440"/>
              <w:rPr>
                <w:sz w:val="8"/>
                <w:szCs w:val="8"/>
              </w:rPr>
            </w:pPr>
          </w:p>
          <w:p w:rsidR="001F42CF" w:rsidRDefault="00A8391A">
            <w:r>
              <w:t xml:space="preserve">2. </w:t>
            </w:r>
            <w:r w:rsidR="003B535E" w:rsidRPr="003B535E">
              <w:t xml:space="preserve">Attempt </w:t>
            </w:r>
            <w:proofErr w:type="spellStart"/>
            <w:r w:rsidR="003B535E" w:rsidRPr="003B535E">
              <w:t>virological</w:t>
            </w:r>
            <w:proofErr w:type="spellEnd"/>
            <w:r w:rsidR="003B535E" w:rsidRPr="003B535E">
              <w:t xml:space="preserve"> confirmation and typing:</w:t>
            </w:r>
          </w:p>
          <w:p w:rsidR="00A8391A" w:rsidRDefault="003B535E" w:rsidP="001F42CF">
            <w:pPr>
              <w:pStyle w:val="ListParagraph"/>
            </w:pPr>
            <w:r w:rsidRPr="003B535E">
              <w:t>•Take viral swab for nucleic acid amplification (NAAT) herpes simplex virus testing</w:t>
            </w:r>
            <w:r>
              <w:t xml:space="preserve">. </w:t>
            </w:r>
          </w:p>
          <w:p w:rsidR="00A8391A" w:rsidRPr="00A8391A" w:rsidRDefault="00A8391A" w:rsidP="001F42CF">
            <w:pPr>
              <w:pStyle w:val="ListParagraph"/>
              <w:rPr>
                <w:sz w:val="8"/>
                <w:szCs w:val="8"/>
              </w:rPr>
            </w:pPr>
          </w:p>
          <w:p w:rsidR="001162FE" w:rsidRDefault="00A8391A" w:rsidP="00A8391A">
            <w:r>
              <w:t xml:space="preserve">3. </w:t>
            </w:r>
            <w:r w:rsidR="003B535E">
              <w:t>Complete full STI testing.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64385C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:rsidR="001162FE" w:rsidRPr="00426561" w:rsidRDefault="00CF7D70" w:rsidP="00426561">
            <w:pPr>
              <w:rPr>
                <w:b/>
              </w:rPr>
            </w:pPr>
            <w:r w:rsidRPr="00426561">
              <w:rPr>
                <w:b/>
              </w:rPr>
              <w:t>If clinical suspicion of genital her</w:t>
            </w:r>
            <w:r w:rsidR="00426561">
              <w:rPr>
                <w:b/>
              </w:rPr>
              <w:t>pes and patient is symptomatic.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:rsidR="001162FE" w:rsidRDefault="00CF7D70" w:rsidP="00426561">
            <w:r w:rsidRPr="00426561">
              <w:rPr>
                <w:b/>
              </w:rPr>
              <w:t>Aciclovir</w:t>
            </w:r>
            <w:r>
              <w:t xml:space="preserve"> 400mg </w:t>
            </w:r>
            <w:r w:rsidR="00426561">
              <w:t>tablets</w:t>
            </w:r>
          </w:p>
        </w:tc>
      </w:tr>
      <w:tr w:rsidR="001162FE" w:rsidTr="001162FE">
        <w:tc>
          <w:tcPr>
            <w:tcW w:w="2689" w:type="dxa"/>
          </w:tcPr>
          <w:p w:rsidR="00877CF2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:rsidR="001162FE" w:rsidRDefault="006064B6" w:rsidP="006064B6">
            <w:r>
              <w:t>Take ONE</w:t>
            </w:r>
            <w:r w:rsidR="00CF7D70">
              <w:t xml:space="preserve"> </w:t>
            </w:r>
            <w:r w:rsidR="00426561">
              <w:t>tablet</w:t>
            </w:r>
            <w:r w:rsidR="00CF7D70">
              <w:t xml:space="preserve"> THREE times daily for </w:t>
            </w:r>
            <w:r>
              <w:t>7</w:t>
            </w:r>
            <w:r w:rsidR="00CF7D70">
              <w:t xml:space="preserve"> days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:rsidR="001162FE" w:rsidRDefault="00CF7D70">
            <w:r>
              <w:t>Oral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64385C" w:rsidP="0064385C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:rsidR="001162FE" w:rsidRDefault="006064B6" w:rsidP="00426561">
            <w:r>
              <w:t>21</w:t>
            </w:r>
            <w:r w:rsidR="00CF7D70">
              <w:t xml:space="preserve"> </w:t>
            </w:r>
            <w:r w:rsidR="00426561">
              <w:t>x 400mg tablets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:rsidR="001162FE" w:rsidRDefault="001D5A1B">
            <w:r>
              <w:t xml:space="preserve">Hypersensitivity to </w:t>
            </w:r>
            <w:r w:rsidR="006064B6">
              <w:t>aci</w:t>
            </w:r>
            <w:r w:rsidR="006064B6" w:rsidRPr="002F0732">
              <w:t>clovir</w:t>
            </w:r>
            <w:r w:rsidR="002F0732" w:rsidRPr="002F0732">
              <w:t xml:space="preserve"> or any excipients.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</w:tcPr>
          <w:p w:rsidR="002F0732" w:rsidRPr="002F0732" w:rsidRDefault="002F0732" w:rsidP="00C74F8A">
            <w:pPr>
              <w:pStyle w:val="ListParagraph"/>
              <w:numPr>
                <w:ilvl w:val="0"/>
                <w:numId w:val="14"/>
              </w:numPr>
            </w:pPr>
            <w:r w:rsidRPr="002F0732">
              <w:t>Maintain adequate hydration</w:t>
            </w:r>
          </w:p>
          <w:p w:rsidR="002F0732" w:rsidRPr="002F0732" w:rsidRDefault="00426561" w:rsidP="00C74F8A">
            <w:pPr>
              <w:pStyle w:val="ListParagraph"/>
              <w:numPr>
                <w:ilvl w:val="0"/>
                <w:numId w:val="14"/>
              </w:numPr>
            </w:pPr>
            <w:r>
              <w:t>Renal impairment (seek Medical or Nurse P</w:t>
            </w:r>
            <w:r w:rsidR="002F0732" w:rsidRPr="002F0732">
              <w:t>ractitioner advice)</w:t>
            </w:r>
          </w:p>
          <w:p w:rsidR="002F0732" w:rsidRDefault="002F0732" w:rsidP="002F0732">
            <w:pPr>
              <w:pStyle w:val="ListParagraph"/>
              <w:numPr>
                <w:ilvl w:val="0"/>
                <w:numId w:val="14"/>
              </w:numPr>
            </w:pPr>
            <w:r w:rsidRPr="002F0732">
              <w:lastRenderedPageBreak/>
              <w:t>Elderly- risk of neurological reactions</w:t>
            </w:r>
          </w:p>
        </w:tc>
      </w:tr>
      <w:tr w:rsidR="008C2A3F" w:rsidTr="001162FE">
        <w:tc>
          <w:tcPr>
            <w:tcW w:w="2689" w:type="dxa"/>
          </w:tcPr>
          <w:p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lastRenderedPageBreak/>
              <w:t>Additional information</w:t>
            </w:r>
          </w:p>
        </w:tc>
        <w:tc>
          <w:tcPr>
            <w:tcW w:w="8073" w:type="dxa"/>
          </w:tcPr>
          <w:p w:rsidR="001F42CF" w:rsidRPr="001D5A1B" w:rsidRDefault="001F42CF" w:rsidP="001F42CF">
            <w:pPr>
              <w:rPr>
                <w:bCs/>
              </w:rPr>
            </w:pPr>
            <w:r w:rsidRPr="001D5A1B">
              <w:rPr>
                <w:bCs/>
              </w:rPr>
              <w:t>Medical consultation is required if:</w:t>
            </w:r>
          </w:p>
          <w:p w:rsidR="001F42CF" w:rsidRPr="001F42CF" w:rsidRDefault="001F42CF" w:rsidP="001F42CF">
            <w:pPr>
              <w:numPr>
                <w:ilvl w:val="0"/>
                <w:numId w:val="3"/>
              </w:numPr>
              <w:rPr>
                <w:bCs/>
              </w:rPr>
            </w:pPr>
            <w:r w:rsidRPr="001F42CF">
              <w:rPr>
                <w:bCs/>
              </w:rPr>
              <w:t>Patient has known or suspected renal impairment.</w:t>
            </w:r>
          </w:p>
          <w:p w:rsidR="001F42CF" w:rsidRPr="001F42CF" w:rsidRDefault="001F42CF" w:rsidP="001F42CF">
            <w:pPr>
              <w:numPr>
                <w:ilvl w:val="0"/>
                <w:numId w:val="3"/>
              </w:numPr>
              <w:rPr>
                <w:bCs/>
              </w:rPr>
            </w:pPr>
            <w:r w:rsidRPr="001F42CF">
              <w:rPr>
                <w:bCs/>
              </w:rPr>
              <w:t xml:space="preserve">Patient is immunosuppressed e.g., taking prednisone or </w:t>
            </w:r>
            <w:proofErr w:type="spellStart"/>
            <w:r w:rsidRPr="001F42CF">
              <w:rPr>
                <w:bCs/>
              </w:rPr>
              <w:t>immunosuppressants</w:t>
            </w:r>
            <w:proofErr w:type="spellEnd"/>
            <w:r w:rsidRPr="001F42CF">
              <w:rPr>
                <w:bCs/>
              </w:rPr>
              <w:t>.</w:t>
            </w:r>
          </w:p>
          <w:p w:rsidR="001F42CF" w:rsidRPr="001F42CF" w:rsidRDefault="001F42CF" w:rsidP="001F42CF">
            <w:pPr>
              <w:numPr>
                <w:ilvl w:val="0"/>
                <w:numId w:val="3"/>
              </w:numPr>
              <w:rPr>
                <w:bCs/>
              </w:rPr>
            </w:pPr>
            <w:r w:rsidRPr="001F42CF">
              <w:rPr>
                <w:bCs/>
              </w:rPr>
              <w:t>Patient is pregnant</w:t>
            </w:r>
          </w:p>
          <w:p w:rsidR="001F42CF" w:rsidRPr="001F42CF" w:rsidRDefault="001F42CF" w:rsidP="005F100F">
            <w:pPr>
              <w:numPr>
                <w:ilvl w:val="0"/>
                <w:numId w:val="3"/>
              </w:numPr>
              <w:rPr>
                <w:bCs/>
              </w:rPr>
            </w:pPr>
            <w:r w:rsidRPr="001F42CF">
              <w:rPr>
                <w:bCs/>
              </w:rPr>
              <w:t>Patient is aged &lt; 18 years as the diagnosis is unusual and dose adjustment is require</w:t>
            </w:r>
            <w:r>
              <w:rPr>
                <w:bCs/>
              </w:rPr>
              <w:t>d.</w:t>
            </w:r>
          </w:p>
          <w:p w:rsidR="001D5A1B" w:rsidRPr="001D5A1B" w:rsidRDefault="001D5A1B" w:rsidP="005F100F">
            <w:pPr>
              <w:rPr>
                <w:bCs/>
                <w:sz w:val="8"/>
                <w:szCs w:val="8"/>
              </w:rPr>
            </w:pPr>
          </w:p>
          <w:p w:rsidR="005F100F" w:rsidRPr="001D5A1B" w:rsidRDefault="005F100F" w:rsidP="005F100F">
            <w:r w:rsidRPr="001D5A1B">
              <w:rPr>
                <w:bCs/>
              </w:rPr>
              <w:t>About genital herpes</w:t>
            </w:r>
            <w:r w:rsidR="001F42CF" w:rsidRPr="001D5A1B">
              <w:rPr>
                <w:bCs/>
              </w:rPr>
              <w:t>:</w:t>
            </w:r>
          </w:p>
          <w:p w:rsidR="005F100F" w:rsidRPr="005F100F" w:rsidRDefault="005F100F" w:rsidP="003B535E">
            <w:pPr>
              <w:numPr>
                <w:ilvl w:val="0"/>
                <w:numId w:val="2"/>
              </w:numPr>
            </w:pPr>
            <w:r w:rsidRPr="005F100F">
              <w:t xml:space="preserve">First episode disease caused by herpes simplex virus type 1 (HSV-1) has become common (40%). </w:t>
            </w:r>
          </w:p>
          <w:p w:rsidR="005F100F" w:rsidRPr="005F100F" w:rsidRDefault="005F100F" w:rsidP="003B535E">
            <w:pPr>
              <w:numPr>
                <w:ilvl w:val="0"/>
                <w:numId w:val="2"/>
              </w:numPr>
            </w:pPr>
            <w:r w:rsidRPr="005F100F">
              <w:t>Recurrent genital herpes is mostly due to herpes simplex virus HSV-2.</w:t>
            </w:r>
          </w:p>
          <w:p w:rsidR="005F100F" w:rsidRPr="005F100F" w:rsidRDefault="005F100F" w:rsidP="003B535E">
            <w:pPr>
              <w:numPr>
                <w:ilvl w:val="0"/>
                <w:numId w:val="2"/>
              </w:numPr>
            </w:pPr>
            <w:r w:rsidRPr="005F100F">
              <w:t>It is not possible to clinically distinguish:</w:t>
            </w:r>
          </w:p>
          <w:p w:rsidR="005F100F" w:rsidRPr="005F100F" w:rsidRDefault="005F100F" w:rsidP="003B535E">
            <w:pPr>
              <w:numPr>
                <w:ilvl w:val="1"/>
                <w:numId w:val="2"/>
              </w:numPr>
            </w:pPr>
            <w:proofErr w:type="gramStart"/>
            <w:r w:rsidRPr="005F100F">
              <w:t>infection</w:t>
            </w:r>
            <w:proofErr w:type="gramEnd"/>
            <w:r w:rsidRPr="005F100F">
              <w:t xml:space="preserve"> with HSV-1 or HSV-2.</w:t>
            </w:r>
          </w:p>
          <w:p w:rsidR="005F100F" w:rsidRPr="005F100F" w:rsidRDefault="005F100F" w:rsidP="003B535E">
            <w:pPr>
              <w:numPr>
                <w:ilvl w:val="1"/>
                <w:numId w:val="2"/>
              </w:numPr>
            </w:pPr>
            <w:proofErr w:type="gramStart"/>
            <w:r w:rsidRPr="005F100F">
              <w:t>whether</w:t>
            </w:r>
            <w:proofErr w:type="gramEnd"/>
            <w:r w:rsidRPr="005F100F">
              <w:t xml:space="preserve"> the infection is recently acquired.</w:t>
            </w:r>
          </w:p>
          <w:p w:rsidR="005F100F" w:rsidRPr="005F100F" w:rsidRDefault="005F100F" w:rsidP="003B535E">
            <w:pPr>
              <w:numPr>
                <w:ilvl w:val="1"/>
                <w:numId w:val="2"/>
              </w:numPr>
            </w:pPr>
            <w:proofErr w:type="gramStart"/>
            <w:r w:rsidRPr="005F100F">
              <w:t>past</w:t>
            </w:r>
            <w:proofErr w:type="gramEnd"/>
            <w:r w:rsidRPr="005F100F">
              <w:t xml:space="preserve"> asymptomatic infection with new clinical manifestations.</w:t>
            </w:r>
          </w:p>
          <w:p w:rsidR="005F100F" w:rsidRPr="005F100F" w:rsidRDefault="005F100F" w:rsidP="003B535E">
            <w:pPr>
              <w:numPr>
                <w:ilvl w:val="0"/>
                <w:numId w:val="2"/>
              </w:numPr>
            </w:pPr>
            <w:r w:rsidRPr="005F100F">
              <w:t>Transmission:</w:t>
            </w:r>
          </w:p>
          <w:p w:rsidR="005F100F" w:rsidRPr="005F100F" w:rsidRDefault="005F100F" w:rsidP="003B535E">
            <w:pPr>
              <w:numPr>
                <w:ilvl w:val="1"/>
                <w:numId w:val="2"/>
              </w:numPr>
            </w:pPr>
            <w:proofErr w:type="gramStart"/>
            <w:r w:rsidRPr="005F100F">
              <w:t>occurs</w:t>
            </w:r>
            <w:proofErr w:type="gramEnd"/>
            <w:r w:rsidRPr="005F100F">
              <w:t xml:space="preserve"> during skin-to-skin contact when virus is being shed. Virus shedding may be symptomatic or asymptomatic. </w:t>
            </w:r>
          </w:p>
          <w:p w:rsidR="005F100F" w:rsidRPr="005F100F" w:rsidRDefault="005F100F" w:rsidP="003B535E">
            <w:pPr>
              <w:numPr>
                <w:ilvl w:val="1"/>
                <w:numId w:val="2"/>
              </w:numPr>
            </w:pPr>
            <w:r w:rsidRPr="005F100F">
              <w:t>is most likely to occur:</w:t>
            </w:r>
          </w:p>
          <w:p w:rsidR="005F100F" w:rsidRPr="005F100F" w:rsidRDefault="005F100F" w:rsidP="003B535E">
            <w:pPr>
              <w:numPr>
                <w:ilvl w:val="2"/>
                <w:numId w:val="2"/>
              </w:numPr>
            </w:pPr>
            <w:proofErr w:type="gramStart"/>
            <w:r w:rsidRPr="005F100F">
              <w:t>during</w:t>
            </w:r>
            <w:proofErr w:type="gramEnd"/>
            <w:r w:rsidRPr="005F100F">
              <w:t xml:space="preserve"> sexual contact.</w:t>
            </w:r>
          </w:p>
          <w:p w:rsidR="005F100F" w:rsidRPr="005F100F" w:rsidRDefault="005F100F" w:rsidP="003B535E">
            <w:pPr>
              <w:numPr>
                <w:ilvl w:val="2"/>
                <w:numId w:val="2"/>
              </w:numPr>
            </w:pPr>
            <w:proofErr w:type="gramStart"/>
            <w:r w:rsidRPr="005F100F">
              <w:t>when</w:t>
            </w:r>
            <w:proofErr w:type="gramEnd"/>
            <w:r w:rsidRPr="005F100F">
              <w:t xml:space="preserve"> the skin is broken.</w:t>
            </w:r>
          </w:p>
          <w:p w:rsidR="005F100F" w:rsidRPr="005F100F" w:rsidRDefault="005F100F" w:rsidP="003B535E">
            <w:pPr>
              <w:numPr>
                <w:ilvl w:val="2"/>
                <w:numId w:val="2"/>
              </w:numPr>
            </w:pPr>
            <w:proofErr w:type="gramStart"/>
            <w:r w:rsidRPr="005F100F">
              <w:t>when</w:t>
            </w:r>
            <w:proofErr w:type="gramEnd"/>
            <w:r w:rsidRPr="005F100F">
              <w:t xml:space="preserve"> there are lesions (e.g. vesicles or ulcers) present.</w:t>
            </w:r>
          </w:p>
          <w:p w:rsidR="005F100F" w:rsidRPr="005F100F" w:rsidRDefault="005F100F" w:rsidP="003B535E">
            <w:pPr>
              <w:numPr>
                <w:ilvl w:val="2"/>
                <w:numId w:val="2"/>
              </w:numPr>
            </w:pPr>
            <w:proofErr w:type="gramStart"/>
            <w:r w:rsidRPr="005F100F">
              <w:t>from</w:t>
            </w:r>
            <w:proofErr w:type="gramEnd"/>
            <w:r w:rsidRPr="005F100F">
              <w:t xml:space="preserve"> men to women.</w:t>
            </w:r>
          </w:p>
          <w:p w:rsidR="005F100F" w:rsidRPr="005F100F" w:rsidRDefault="005F100F" w:rsidP="003B535E">
            <w:pPr>
              <w:numPr>
                <w:ilvl w:val="1"/>
                <w:numId w:val="2"/>
              </w:numPr>
            </w:pPr>
            <w:r w:rsidRPr="005F100F">
              <w:t>is reduced but not eliminated with the use of condoms</w:t>
            </w:r>
          </w:p>
          <w:p w:rsidR="003B535E" w:rsidRDefault="005F100F" w:rsidP="003B535E">
            <w:pPr>
              <w:numPr>
                <w:ilvl w:val="1"/>
                <w:numId w:val="2"/>
              </w:numPr>
            </w:pPr>
            <w:proofErr w:type="gramStart"/>
            <w:r w:rsidRPr="005F100F">
              <w:t>is</w:t>
            </w:r>
            <w:proofErr w:type="gramEnd"/>
            <w:r w:rsidRPr="005F100F">
              <w:t xml:space="preserve"> reduced with the use of anti-viral medications. Aciclovir</w:t>
            </w:r>
            <w:r w:rsidR="00A0638D">
              <w:t xml:space="preserve"> suppress</w:t>
            </w:r>
            <w:r w:rsidR="001D5A1B">
              <w:t>es</w:t>
            </w:r>
            <w:r w:rsidR="00A0638D">
              <w:t xml:space="preserve"> sym</w:t>
            </w:r>
            <w:r w:rsidRPr="005F100F">
              <w:t>ptomatic and asymptomatic shedding by 80 to 95 percent.</w:t>
            </w:r>
          </w:p>
          <w:p w:rsidR="003B535E" w:rsidRPr="001D5A1B" w:rsidRDefault="003B535E" w:rsidP="003B535E">
            <w:pPr>
              <w:spacing w:before="120"/>
              <w:textAlignment w:val="baseline"/>
              <w:rPr>
                <w:rFonts w:eastAsia="Times New Roman" w:cs="Times New Roman"/>
                <w:color w:val="000000"/>
                <w:lang w:eastAsia="en-NZ"/>
              </w:rPr>
            </w:pPr>
            <w:r w:rsidRPr="001D5A1B">
              <w:rPr>
                <w:rFonts w:eastAsia="Times New Roman" w:cs="Times New Roman"/>
                <w:color w:val="000000"/>
                <w:lang w:eastAsia="en-NZ"/>
              </w:rPr>
              <w:t>Advise patients that:</w:t>
            </w:r>
          </w:p>
          <w:p w:rsidR="003B535E" w:rsidRPr="003B535E" w:rsidRDefault="003B535E" w:rsidP="003B535E">
            <w:pPr>
              <w:numPr>
                <w:ilvl w:val="1"/>
                <w:numId w:val="2"/>
              </w:numPr>
              <w:spacing w:before="60"/>
              <w:textAlignment w:val="baseline"/>
              <w:rPr>
                <w:rFonts w:eastAsia="Times New Roman" w:cs="Times New Roman"/>
                <w:color w:val="000000"/>
                <w:lang w:eastAsia="en-NZ"/>
              </w:rPr>
            </w:pPr>
            <w:proofErr w:type="gramStart"/>
            <w:r w:rsidRPr="003B535E">
              <w:rPr>
                <w:rFonts w:eastAsia="Times New Roman" w:cs="Times New Roman"/>
                <w:color w:val="000000"/>
                <w:lang w:eastAsia="en-NZ"/>
              </w:rPr>
              <w:t>sexual</w:t>
            </w:r>
            <w:proofErr w:type="gramEnd"/>
            <w:r w:rsidRPr="003B535E">
              <w:rPr>
                <w:rFonts w:eastAsia="Times New Roman" w:cs="Times New Roman"/>
                <w:color w:val="000000"/>
                <w:lang w:eastAsia="en-NZ"/>
              </w:rPr>
              <w:t xml:space="preserve"> contacts should be informed of diagnosis.</w:t>
            </w:r>
          </w:p>
          <w:p w:rsidR="003B535E" w:rsidRPr="003B535E" w:rsidRDefault="003B535E" w:rsidP="003B535E">
            <w:pPr>
              <w:numPr>
                <w:ilvl w:val="1"/>
                <w:numId w:val="2"/>
              </w:numPr>
              <w:spacing w:before="60"/>
              <w:textAlignment w:val="baseline"/>
              <w:rPr>
                <w:rFonts w:eastAsia="Times New Roman" w:cs="Times New Roman"/>
                <w:color w:val="000000"/>
                <w:lang w:eastAsia="en-NZ"/>
              </w:rPr>
            </w:pPr>
            <w:proofErr w:type="gramStart"/>
            <w:r w:rsidRPr="003B535E">
              <w:rPr>
                <w:rFonts w:eastAsia="Times New Roman" w:cs="Times New Roman"/>
                <w:color w:val="000000"/>
                <w:lang w:eastAsia="en-NZ"/>
              </w:rPr>
              <w:t>it</w:t>
            </w:r>
            <w:proofErr w:type="gramEnd"/>
            <w:r w:rsidRPr="003B535E">
              <w:rPr>
                <w:rFonts w:eastAsia="Times New Roman" w:cs="Times New Roman"/>
                <w:color w:val="000000"/>
                <w:lang w:eastAsia="en-NZ"/>
              </w:rPr>
              <w:t xml:space="preserve"> may be useful for contacts to have a clinical review and sexual health check.</w:t>
            </w:r>
          </w:p>
          <w:p w:rsidR="003B535E" w:rsidRPr="001D5A1B" w:rsidRDefault="003B535E" w:rsidP="005430A4">
            <w:pPr>
              <w:numPr>
                <w:ilvl w:val="1"/>
                <w:numId w:val="2"/>
              </w:numPr>
              <w:spacing w:before="60"/>
              <w:textAlignment w:val="baseline"/>
              <w:rPr>
                <w:rFonts w:eastAsia="Times New Roman" w:cs="Times New Roman"/>
                <w:color w:val="000000"/>
                <w:lang w:eastAsia="en-NZ"/>
              </w:rPr>
            </w:pPr>
            <w:proofErr w:type="gramStart"/>
            <w:r w:rsidRPr="003B535E">
              <w:rPr>
                <w:rFonts w:eastAsia="Times New Roman" w:cs="Times New Roman"/>
                <w:color w:val="000000"/>
                <w:lang w:eastAsia="en-NZ"/>
              </w:rPr>
              <w:t>getting</w:t>
            </w:r>
            <w:proofErr w:type="gramEnd"/>
            <w:r w:rsidRPr="003B535E">
              <w:rPr>
                <w:rFonts w:eastAsia="Times New Roman" w:cs="Times New Roman"/>
                <w:color w:val="000000"/>
                <w:lang w:eastAsia="en-NZ"/>
              </w:rPr>
              <w:t xml:space="preserve"> genital </w:t>
            </w:r>
            <w:r w:rsidR="005430A4">
              <w:rPr>
                <w:rFonts w:eastAsia="Times New Roman" w:cs="Times New Roman"/>
                <w:color w:val="000000"/>
                <w:lang w:eastAsia="en-NZ"/>
              </w:rPr>
              <w:t>herpes</w:t>
            </w:r>
            <w:r w:rsidRPr="003B535E">
              <w:rPr>
                <w:rFonts w:eastAsia="Times New Roman" w:cs="Times New Roman"/>
                <w:color w:val="000000"/>
                <w:lang w:eastAsia="en-NZ"/>
              </w:rPr>
              <w:t xml:space="preserve"> in a long-term relationship does not necessarily mean their partner has been unfaithful.</w:t>
            </w:r>
          </w:p>
        </w:tc>
      </w:tr>
      <w:tr w:rsidR="008C2A3F" w:rsidTr="001162FE">
        <w:tc>
          <w:tcPr>
            <w:tcW w:w="2689" w:type="dxa"/>
          </w:tcPr>
          <w:p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t>Follow-up</w:t>
            </w:r>
          </w:p>
        </w:tc>
        <w:tc>
          <w:tcPr>
            <w:tcW w:w="8073" w:type="dxa"/>
          </w:tcPr>
          <w:p w:rsidR="003B535E" w:rsidRPr="003B535E" w:rsidRDefault="003B535E" w:rsidP="003B535E">
            <w:r w:rsidRPr="003B535E">
              <w:t>Follow up in five to seven days:</w:t>
            </w:r>
          </w:p>
          <w:p w:rsidR="003B535E" w:rsidRPr="003B535E" w:rsidRDefault="003B535E" w:rsidP="003B535E">
            <w:pPr>
              <w:numPr>
                <w:ilvl w:val="1"/>
                <w:numId w:val="9"/>
              </w:numPr>
            </w:pPr>
            <w:r w:rsidRPr="003B535E">
              <w:t>Discuss results:</w:t>
            </w:r>
          </w:p>
          <w:p w:rsidR="003B535E" w:rsidRPr="003B535E" w:rsidRDefault="003B535E" w:rsidP="003B535E">
            <w:pPr>
              <w:numPr>
                <w:ilvl w:val="2"/>
                <w:numId w:val="9"/>
              </w:numPr>
            </w:pPr>
            <w:r w:rsidRPr="003B535E">
              <w:t xml:space="preserve">A negative result does not exclude infection. </w:t>
            </w:r>
          </w:p>
          <w:p w:rsidR="003B535E" w:rsidRPr="003B535E" w:rsidRDefault="003B535E" w:rsidP="003B535E">
            <w:pPr>
              <w:numPr>
                <w:ilvl w:val="2"/>
                <w:numId w:val="9"/>
              </w:numPr>
            </w:pPr>
            <w:r w:rsidRPr="003B535E">
              <w:t>Consider re-testing when next symptomatic and possibly serology.</w:t>
            </w:r>
          </w:p>
          <w:p w:rsidR="003B535E" w:rsidRPr="003B535E" w:rsidRDefault="003B535E" w:rsidP="003B535E">
            <w:pPr>
              <w:numPr>
                <w:ilvl w:val="1"/>
                <w:numId w:val="9"/>
              </w:numPr>
            </w:pPr>
            <w:r w:rsidRPr="003B535E">
              <w:t>Check psychological well-being and offer counselling if required.</w:t>
            </w:r>
          </w:p>
          <w:p w:rsidR="008C2A3F" w:rsidRDefault="003B535E" w:rsidP="008C2A3F">
            <w:pPr>
              <w:numPr>
                <w:ilvl w:val="1"/>
                <w:numId w:val="9"/>
              </w:numPr>
            </w:pPr>
            <w:r w:rsidRPr="003B535E">
              <w:t xml:space="preserve">Full </w:t>
            </w:r>
            <w:r>
              <w:t>STI check</w:t>
            </w:r>
            <w:r w:rsidRPr="003B535E">
              <w:t xml:space="preserve"> if not already done. 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Countersigning and auditing</w:t>
            </w:r>
          </w:p>
        </w:tc>
        <w:tc>
          <w:tcPr>
            <w:tcW w:w="8073" w:type="dxa"/>
          </w:tcPr>
          <w:p w:rsidR="0070113B" w:rsidRDefault="0070113B" w:rsidP="0070113B">
            <w:r>
              <w:t>Countersigning is not required. Audited monthly.</w:t>
            </w:r>
          </w:p>
          <w:p w:rsidR="0070113B" w:rsidRPr="0070113B" w:rsidRDefault="0070113B" w:rsidP="0070113B">
            <w:pPr>
              <w:rPr>
                <w:b/>
              </w:rPr>
            </w:pPr>
            <w:r w:rsidRPr="0070113B">
              <w:rPr>
                <w:b/>
              </w:rPr>
              <w:t xml:space="preserve">OR </w:t>
            </w:r>
          </w:p>
          <w:p w:rsidR="0070113B" w:rsidRDefault="0070113B" w:rsidP="0070113B">
            <w:r>
              <w:t xml:space="preserve">Countersigning is required within </w:t>
            </w:r>
            <w:r w:rsidRPr="00070579">
              <w:rPr>
                <w:b/>
                <w:i/>
              </w:rPr>
              <w:t>XX</w:t>
            </w:r>
            <w:r>
              <w:t xml:space="preserve"> days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Competency/training requirements</w:t>
            </w:r>
          </w:p>
        </w:tc>
        <w:tc>
          <w:tcPr>
            <w:tcW w:w="8073" w:type="dxa"/>
          </w:tcPr>
          <w:p w:rsidR="0070113B" w:rsidRDefault="0070113B" w:rsidP="0070113B">
            <w:r>
              <w:t>All nurses working under this standing order must be signed off as competent to do so by the issuer and have had specific training in this standing order.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Supporting documentation</w:t>
            </w:r>
          </w:p>
        </w:tc>
        <w:tc>
          <w:tcPr>
            <w:tcW w:w="8073" w:type="dxa"/>
          </w:tcPr>
          <w:p w:rsidR="00476AA6" w:rsidRDefault="00476AA6" w:rsidP="00476AA6">
            <w:proofErr w:type="spellStart"/>
            <w:r>
              <w:t>Healthpathways</w:t>
            </w:r>
            <w:proofErr w:type="spellEnd"/>
            <w:r>
              <w:t xml:space="preserve"> at </w:t>
            </w:r>
            <w:hyperlink r:id="rId9" w:history="1">
              <w:r w:rsidR="003B535E" w:rsidRPr="001949CC">
                <w:rPr>
                  <w:rStyle w:val="Hyperlink"/>
                </w:rPr>
                <w:t>www.healthpathways.org.nz</w:t>
              </w:r>
            </w:hyperlink>
            <w:r>
              <w:t xml:space="preserve"> </w:t>
            </w:r>
          </w:p>
          <w:p w:rsidR="00476AA6" w:rsidRDefault="00476AA6" w:rsidP="00476AA6">
            <w:r>
              <w:t xml:space="preserve">Best Practice Journal at </w:t>
            </w:r>
            <w:hyperlink r:id="rId10" w:history="1">
              <w:r w:rsidRPr="00254A91">
                <w:rPr>
                  <w:rStyle w:val="Hyperlink"/>
                </w:rPr>
                <w:t>www.bpac.org.nz</w:t>
              </w:r>
            </w:hyperlink>
            <w:r>
              <w:t xml:space="preserve"> </w:t>
            </w:r>
          </w:p>
          <w:p w:rsidR="00476AA6" w:rsidRDefault="00476AA6" w:rsidP="00476AA6">
            <w:r>
              <w:t xml:space="preserve">New Zealand Formulary at </w:t>
            </w:r>
            <w:hyperlink r:id="rId11" w:history="1">
              <w:r w:rsidRPr="00254A91">
                <w:rPr>
                  <w:rStyle w:val="Hyperlink"/>
                </w:rPr>
                <w:t>www.nzf.org.nz</w:t>
              </w:r>
            </w:hyperlink>
            <w:r>
              <w:t xml:space="preserve"> </w:t>
            </w:r>
          </w:p>
          <w:p w:rsidR="00476AA6" w:rsidRDefault="00476AA6" w:rsidP="00476AA6">
            <w:r>
              <w:t xml:space="preserve">Individual medicine data sheets at </w:t>
            </w:r>
            <w:hyperlink r:id="rId12" w:history="1">
              <w:r w:rsidRPr="00254A91">
                <w:rPr>
                  <w:rStyle w:val="Hyperlink"/>
                </w:rPr>
                <w:t>www.medsafe.govt.nz</w:t>
              </w:r>
            </w:hyperlink>
            <w:r>
              <w:t xml:space="preserve"> </w:t>
            </w:r>
          </w:p>
          <w:p w:rsidR="005216BC" w:rsidRDefault="00476AA6" w:rsidP="0070113B">
            <w:r>
              <w:t>Standing Order Guidelines, Ministry of Health, 2012</w:t>
            </w:r>
          </w:p>
          <w:p w:rsidR="00447028" w:rsidRDefault="00447028" w:rsidP="0070113B">
            <w:r>
              <w:t>Medicines (Standing Order) Regulations 2012 (Standing Order Regulations)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Definition of terms used in standing order</w:t>
            </w:r>
          </w:p>
        </w:tc>
        <w:tc>
          <w:tcPr>
            <w:tcW w:w="8073" w:type="dxa"/>
          </w:tcPr>
          <w:p w:rsidR="0070113B" w:rsidRDefault="0070113B" w:rsidP="0070113B"/>
        </w:tc>
      </w:tr>
    </w:tbl>
    <w:p w:rsidR="001162FE" w:rsidRDefault="001162FE"/>
    <w:p w:rsidR="008C2A3F" w:rsidRDefault="008C2A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8C2A3F" w:rsidTr="00B44145">
        <w:tc>
          <w:tcPr>
            <w:tcW w:w="2689" w:type="dxa"/>
          </w:tcPr>
          <w:p w:rsidR="008C2A3F" w:rsidRPr="0064385C" w:rsidRDefault="008C2A3F" w:rsidP="00B44145">
            <w:pPr>
              <w:rPr>
                <w:b/>
              </w:rPr>
            </w:pPr>
            <w:r w:rsidRPr="0064385C">
              <w:rPr>
                <w:b/>
              </w:rPr>
              <w:t>Medical Centre or Clinic</w:t>
            </w:r>
            <w:r w:rsidR="0064385C" w:rsidRPr="0064385C">
              <w:rPr>
                <w:b/>
              </w:rPr>
              <w:t>:</w:t>
            </w:r>
          </w:p>
        </w:tc>
        <w:tc>
          <w:tcPr>
            <w:tcW w:w="8073" w:type="dxa"/>
          </w:tcPr>
          <w:p w:rsidR="008C2A3F" w:rsidRDefault="008C2A3F" w:rsidP="00B44145"/>
        </w:tc>
      </w:tr>
    </w:tbl>
    <w:p w:rsidR="001162FE" w:rsidRDefault="00116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</w:tblGrid>
      <w:tr w:rsidR="001162FE" w:rsidTr="00877CF2">
        <w:tc>
          <w:tcPr>
            <w:tcW w:w="2122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Signed by issuers</w:t>
            </w:r>
          </w:p>
        </w:tc>
      </w:tr>
    </w:tbl>
    <w:p w:rsidR="001162FE" w:rsidRDefault="001162FE"/>
    <w:p w:rsidR="001162FE" w:rsidRDefault="001162FE">
      <w:r>
        <w:t>Name:</w:t>
      </w:r>
      <w:r>
        <w:tab/>
        <w:t>____________________________</w:t>
      </w:r>
      <w:r>
        <w:tab/>
      </w:r>
      <w:r>
        <w:tab/>
        <w:t>Signature: __________________________</w:t>
      </w:r>
    </w:p>
    <w:p w:rsidR="001162FE" w:rsidRDefault="001162FE">
      <w:r>
        <w:t>Title:</w:t>
      </w:r>
      <w:r>
        <w:tab/>
        <w:t>____________________________</w:t>
      </w:r>
      <w:r>
        <w:tab/>
      </w:r>
      <w:r>
        <w:tab/>
        <w:t>Date: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1162FE" w:rsidTr="0064385C">
        <w:trPr>
          <w:trHeight w:val="123"/>
        </w:trPr>
        <w:tc>
          <w:tcPr>
            <w:tcW w:w="4531" w:type="dxa"/>
          </w:tcPr>
          <w:p w:rsidR="001162FE" w:rsidRPr="0064385C" w:rsidRDefault="001162FE">
            <w:pPr>
              <w:rPr>
                <w:b/>
              </w:rPr>
            </w:pPr>
            <w:r w:rsidRPr="0064385C">
              <w:rPr>
                <w:b/>
              </w:rPr>
              <w:t>Nurses operating under this standing order</w:t>
            </w:r>
          </w:p>
        </w:tc>
      </w:tr>
    </w:tbl>
    <w:p w:rsidR="001162FE" w:rsidRDefault="001162FE"/>
    <w:p w:rsidR="0064385C" w:rsidRDefault="0064385C" w:rsidP="0064385C">
      <w:r>
        <w:t xml:space="preserve">Only Registered nurses working within the above medical centre or clinic are authorised to administer medication under this standing order. </w:t>
      </w:r>
    </w:p>
    <w:p w:rsidR="001162FE" w:rsidRDefault="001162FE">
      <w:r>
        <w:t>We the undersigned agree that we have read, understood and will comply with this standing order and all associated documents.</w:t>
      </w:r>
    </w:p>
    <w:p w:rsidR="001162FE" w:rsidRDefault="001162FE"/>
    <w:p w:rsidR="001162FE" w:rsidRDefault="001162FE">
      <w:r>
        <w:t>Name: ______________________   Signature: _________________________</w:t>
      </w:r>
      <w:proofErr w:type="gramStart"/>
      <w:r>
        <w:t>_  Date</w:t>
      </w:r>
      <w:proofErr w:type="gramEnd"/>
      <w:r>
        <w:t>: ______________</w:t>
      </w:r>
    </w:p>
    <w:p w:rsidR="001162FE" w:rsidRDefault="001162FE" w:rsidP="001162FE">
      <w:r>
        <w:t>Name: ______________________   Signature: _________________________</w:t>
      </w:r>
      <w:proofErr w:type="gramStart"/>
      <w:r>
        <w:t>_  Date</w:t>
      </w:r>
      <w:proofErr w:type="gramEnd"/>
      <w:r>
        <w:t>: ______________</w:t>
      </w:r>
    </w:p>
    <w:p w:rsidR="001162FE" w:rsidRDefault="001162FE" w:rsidP="001162FE">
      <w:r>
        <w:t>Name: ______________________   Signature: _________________________</w:t>
      </w:r>
      <w:proofErr w:type="gramStart"/>
      <w:r>
        <w:t>_  Date</w:t>
      </w:r>
      <w:proofErr w:type="gramEnd"/>
      <w:r>
        <w:t>: ______________</w:t>
      </w:r>
    </w:p>
    <w:p w:rsidR="001162FE" w:rsidRDefault="001162FE" w:rsidP="001162FE">
      <w:r>
        <w:t>Name: ______________________   Signature: _________________________</w:t>
      </w:r>
      <w:proofErr w:type="gramStart"/>
      <w:r>
        <w:t>_  Date</w:t>
      </w:r>
      <w:proofErr w:type="gramEnd"/>
      <w:r>
        <w:t>: ______________</w:t>
      </w:r>
    </w:p>
    <w:p w:rsidR="001162FE" w:rsidRDefault="001162FE"/>
    <w:sectPr w:rsidR="001162FE" w:rsidSect="00D270A8">
      <w:footerReference w:type="default" r:id="rId13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35E" w:rsidRDefault="003B535E" w:rsidP="0025588A">
      <w:pPr>
        <w:spacing w:after="0" w:line="240" w:lineRule="auto"/>
      </w:pPr>
      <w:r>
        <w:separator/>
      </w:r>
    </w:p>
  </w:endnote>
  <w:endnote w:type="continuationSeparator" w:id="0">
    <w:p w:rsidR="003B535E" w:rsidRDefault="003B535E" w:rsidP="0025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5E" w:rsidRDefault="00A8391A">
    <w:pPr>
      <w:pStyle w:val="Footer"/>
    </w:pPr>
    <w:r>
      <w:t>Genital Herpes</w:t>
    </w:r>
    <w:r w:rsidR="003B535E">
      <w:t xml:space="preserve"> Standing Order</w:t>
    </w:r>
    <w:r w:rsidR="003B535E">
      <w:tab/>
      <w:t>D</w:t>
    </w:r>
    <w:r>
      <w:t>ecember 2015</w:t>
    </w:r>
    <w:r w:rsidR="003B535E">
      <w:tab/>
    </w:r>
    <w:proofErr w:type="spellStart"/>
    <w:r w:rsidR="003B535E">
      <w:t>WellSouth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35E" w:rsidRDefault="003B535E" w:rsidP="0025588A">
      <w:pPr>
        <w:spacing w:after="0" w:line="240" w:lineRule="auto"/>
      </w:pPr>
      <w:r>
        <w:separator/>
      </w:r>
    </w:p>
  </w:footnote>
  <w:footnote w:type="continuationSeparator" w:id="0">
    <w:p w:rsidR="003B535E" w:rsidRDefault="003B535E" w:rsidP="00255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E115126"/>
    <w:multiLevelType w:val="hybridMultilevel"/>
    <w:tmpl w:val="B35E94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588"/>
    <w:multiLevelType w:val="multilevel"/>
    <w:tmpl w:val="E148382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774AB"/>
    <w:multiLevelType w:val="hybridMultilevel"/>
    <w:tmpl w:val="6DD4D3D0"/>
    <w:lvl w:ilvl="0" w:tplc="DB68DFD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C295D"/>
    <w:multiLevelType w:val="hybridMultilevel"/>
    <w:tmpl w:val="446A1C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66E2B"/>
    <w:multiLevelType w:val="hybridMultilevel"/>
    <w:tmpl w:val="8C54DA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94D7E"/>
    <w:multiLevelType w:val="multilevel"/>
    <w:tmpl w:val="2A4E5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C51C76"/>
    <w:multiLevelType w:val="hybridMultilevel"/>
    <w:tmpl w:val="451EF5AA"/>
    <w:lvl w:ilvl="0" w:tplc="DB68DFD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20280"/>
    <w:multiLevelType w:val="multilevel"/>
    <w:tmpl w:val="543C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1D55D1"/>
    <w:multiLevelType w:val="multilevel"/>
    <w:tmpl w:val="0C78A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C858E8"/>
    <w:multiLevelType w:val="hybridMultilevel"/>
    <w:tmpl w:val="1BC480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5019A"/>
    <w:multiLevelType w:val="multilevel"/>
    <w:tmpl w:val="24AC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DC6041"/>
    <w:multiLevelType w:val="multilevel"/>
    <w:tmpl w:val="DF16D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DD0743"/>
    <w:multiLevelType w:val="multilevel"/>
    <w:tmpl w:val="A816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70497D"/>
    <w:multiLevelType w:val="multilevel"/>
    <w:tmpl w:val="F80A4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1"/>
  </w:num>
  <w:num w:numId="5">
    <w:abstractNumId w:val="7"/>
  </w:num>
  <w:num w:numId="6">
    <w:abstractNumId w:val="12"/>
  </w:num>
  <w:num w:numId="7">
    <w:abstractNumId w:val="10"/>
  </w:num>
  <w:num w:numId="8">
    <w:abstractNumId w:val="13"/>
  </w:num>
  <w:num w:numId="9">
    <w:abstractNumId w:val="8"/>
  </w:num>
  <w:num w:numId="10">
    <w:abstractNumId w:val="4"/>
  </w:num>
  <w:num w:numId="11">
    <w:abstractNumId w:val="9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A8"/>
    <w:rsid w:val="000E47A6"/>
    <w:rsid w:val="001162FE"/>
    <w:rsid w:val="00123A68"/>
    <w:rsid w:val="001C6F45"/>
    <w:rsid w:val="001D5A1B"/>
    <w:rsid w:val="001F42CF"/>
    <w:rsid w:val="0025588A"/>
    <w:rsid w:val="002A4F5D"/>
    <w:rsid w:val="002F0732"/>
    <w:rsid w:val="003B535E"/>
    <w:rsid w:val="00426561"/>
    <w:rsid w:val="00447028"/>
    <w:rsid w:val="00476AA6"/>
    <w:rsid w:val="005216BC"/>
    <w:rsid w:val="005430A4"/>
    <w:rsid w:val="005F100F"/>
    <w:rsid w:val="006064B6"/>
    <w:rsid w:val="0064385C"/>
    <w:rsid w:val="0070113B"/>
    <w:rsid w:val="00853012"/>
    <w:rsid w:val="00877CF2"/>
    <w:rsid w:val="008C2A3F"/>
    <w:rsid w:val="009879B3"/>
    <w:rsid w:val="00A0638D"/>
    <w:rsid w:val="00A8391A"/>
    <w:rsid w:val="00B44145"/>
    <w:rsid w:val="00C1743C"/>
    <w:rsid w:val="00C74F8A"/>
    <w:rsid w:val="00CF7D70"/>
    <w:rsid w:val="00D2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2E9DDCF-23F5-477A-8B59-51F0AA92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6A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8A"/>
  </w:style>
  <w:style w:type="paragraph" w:styleId="Footer">
    <w:name w:val="footer"/>
    <w:basedOn w:val="Normal"/>
    <w:link w:val="FooterChar"/>
    <w:uiPriority w:val="99"/>
    <w:unhideWhenUsed/>
    <w:rsid w:val="00255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88A"/>
  </w:style>
  <w:style w:type="paragraph" w:styleId="ListParagraph">
    <w:name w:val="List Paragraph"/>
    <w:basedOn w:val="Normal"/>
    <w:uiPriority w:val="34"/>
    <w:qFormat/>
    <w:rsid w:val="00A0638D"/>
    <w:pPr>
      <w:ind w:left="720"/>
      <w:contextualSpacing/>
    </w:pPr>
  </w:style>
  <w:style w:type="paragraph" w:customStyle="1" w:styleId="bodytext">
    <w:name w:val="bodytext"/>
    <w:basedOn w:val="Normal"/>
    <w:rsid w:val="00A0638D"/>
    <w:pPr>
      <w:spacing w:before="120" w:after="120" w:line="240" w:lineRule="auto"/>
      <w:textAlignment w:val="baseline"/>
    </w:pPr>
    <w:rPr>
      <w:rFonts w:ascii="Verdana" w:eastAsia="Times New Roman" w:hAnsi="Verdana" w:cs="Times New Roman"/>
      <w:color w:val="000000"/>
      <w:sz w:val="24"/>
      <w:szCs w:val="24"/>
      <w:lang w:eastAsia="en-NZ"/>
    </w:rPr>
  </w:style>
  <w:style w:type="character" w:customStyle="1" w:styleId="notebold1">
    <w:name w:val="notebold1"/>
    <w:basedOn w:val="DefaultParagraphFont"/>
    <w:rsid w:val="00A0638D"/>
    <w:rPr>
      <w:rFonts w:ascii="Verdana" w:hAnsi="Verdana" w:hint="default"/>
      <w:b/>
      <w:bCs/>
      <w:vanish w:val="0"/>
      <w:webHidden w:val="0"/>
      <w:color w:val="000000"/>
      <w:vertAlign w:val="baseline"/>
      <w:specVanish w:val="0"/>
    </w:rPr>
  </w:style>
  <w:style w:type="character" w:customStyle="1" w:styleId="highlight1">
    <w:name w:val="highlight1"/>
    <w:basedOn w:val="DefaultParagraphFont"/>
    <w:rsid w:val="003B535E"/>
    <w:rPr>
      <w:shd w:val="clear" w:color="auto" w:fill="FFFF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35467">
      <w:bodyDiv w:val="1"/>
      <w:marLeft w:val="1"/>
      <w:marRight w:val="3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6283">
              <w:marLeft w:val="284"/>
              <w:marRight w:val="284"/>
              <w:marTop w:val="284"/>
              <w:marBottom w:val="284"/>
              <w:divBdr>
                <w:top w:val="single" w:sz="6" w:space="7" w:color="FFFFFF"/>
                <w:left w:val="single" w:sz="6" w:space="7" w:color="FFFFFF"/>
                <w:bottom w:val="single" w:sz="6" w:space="7" w:color="FFFFFF"/>
                <w:right w:val="single" w:sz="6" w:space="7" w:color="FFFFFF"/>
              </w:divBdr>
            </w:div>
          </w:divsChild>
        </w:div>
      </w:divsChild>
    </w:div>
    <w:div w:id="423111034">
      <w:bodyDiv w:val="1"/>
      <w:marLeft w:val="1"/>
      <w:marRight w:val="3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4448">
              <w:marLeft w:val="284"/>
              <w:marRight w:val="284"/>
              <w:marTop w:val="284"/>
              <w:marBottom w:val="284"/>
              <w:divBdr>
                <w:top w:val="single" w:sz="6" w:space="7" w:color="FFFFFF"/>
                <w:left w:val="single" w:sz="6" w:space="7" w:color="FFFFFF"/>
                <w:bottom w:val="single" w:sz="6" w:space="7" w:color="FFFFFF"/>
                <w:right w:val="single" w:sz="6" w:space="7" w:color="FFFFFF"/>
              </w:divBdr>
            </w:div>
          </w:divsChild>
        </w:div>
      </w:divsChild>
    </w:div>
    <w:div w:id="582567664">
      <w:bodyDiv w:val="1"/>
      <w:marLeft w:val="1"/>
      <w:marRight w:val="3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0390">
      <w:bodyDiv w:val="1"/>
      <w:marLeft w:val="1"/>
      <w:marRight w:val="3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7157">
              <w:marLeft w:val="284"/>
              <w:marRight w:val="284"/>
              <w:marTop w:val="284"/>
              <w:marBottom w:val="284"/>
              <w:divBdr>
                <w:top w:val="single" w:sz="6" w:space="7" w:color="FFFFFF"/>
                <w:left w:val="single" w:sz="6" w:space="7" w:color="FFFFFF"/>
                <w:bottom w:val="single" w:sz="6" w:space="7" w:color="FFFFFF"/>
                <w:right w:val="single" w:sz="6" w:space="7" w:color="FFFFFF"/>
              </w:divBdr>
            </w:div>
          </w:divsChild>
        </w:div>
      </w:divsChild>
    </w:div>
    <w:div w:id="813448246">
      <w:bodyDiv w:val="1"/>
      <w:marLeft w:val="1"/>
      <w:marRight w:val="3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138">
              <w:marLeft w:val="284"/>
              <w:marRight w:val="284"/>
              <w:marTop w:val="284"/>
              <w:marBottom w:val="284"/>
              <w:divBdr>
                <w:top w:val="single" w:sz="6" w:space="7" w:color="FFFFFF"/>
                <w:left w:val="single" w:sz="6" w:space="7" w:color="FFFFFF"/>
                <w:bottom w:val="single" w:sz="6" w:space="7" w:color="FFFFFF"/>
                <w:right w:val="single" w:sz="6" w:space="7" w:color="FFFFFF"/>
              </w:divBdr>
            </w:div>
          </w:divsChild>
        </w:div>
      </w:divsChild>
    </w:div>
    <w:div w:id="955336705">
      <w:bodyDiv w:val="1"/>
      <w:marLeft w:val="1"/>
      <w:marRight w:val="3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8050">
      <w:bodyDiv w:val="1"/>
      <w:marLeft w:val="1"/>
      <w:marRight w:val="3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324">
              <w:marLeft w:val="284"/>
              <w:marRight w:val="284"/>
              <w:marTop w:val="284"/>
              <w:marBottom w:val="284"/>
              <w:divBdr>
                <w:top w:val="single" w:sz="6" w:space="7" w:color="FFFFFF"/>
                <w:left w:val="single" w:sz="6" w:space="7" w:color="FFFFFF"/>
                <w:bottom w:val="single" w:sz="6" w:space="7" w:color="FFFFFF"/>
                <w:right w:val="single" w:sz="6" w:space="7" w:color="FFFFFF"/>
              </w:divBdr>
            </w:div>
          </w:divsChild>
        </w:div>
      </w:divsChild>
    </w:div>
    <w:div w:id="2048525598">
      <w:bodyDiv w:val="1"/>
      <w:marLeft w:val="1"/>
      <w:marRight w:val="3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0564">
              <w:marLeft w:val="284"/>
              <w:marRight w:val="284"/>
              <w:marTop w:val="284"/>
              <w:marBottom w:val="284"/>
              <w:divBdr>
                <w:top w:val="single" w:sz="6" w:space="7" w:color="FFFFFF"/>
                <w:left w:val="single" w:sz="6" w:space="7" w:color="FFFFFF"/>
                <w:bottom w:val="single" w:sz="6" w:space="7" w:color="FFFFFF"/>
                <w:right w:val="single" w:sz="6" w:space="7" w:color="FFFFFF"/>
              </w:divBdr>
            </w:div>
          </w:divsChild>
        </w:div>
      </w:divsChild>
    </w:div>
    <w:div w:id="2139641271">
      <w:bodyDiv w:val="1"/>
      <w:marLeft w:val="1"/>
      <w:marRight w:val="3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pathways.org.nz/26706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edsafe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zf.org.n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pac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pathways.org.n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7D4A8561</Template>
  <TotalTime>0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PHO</Company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Leach</dc:creator>
  <cp:keywords/>
  <dc:description/>
  <cp:lastModifiedBy>Nick Leach</cp:lastModifiedBy>
  <cp:revision>2</cp:revision>
  <dcterms:created xsi:type="dcterms:W3CDTF">2015-12-22T01:33:00Z</dcterms:created>
  <dcterms:modified xsi:type="dcterms:W3CDTF">2015-12-22T01:33:00Z</dcterms:modified>
</cp:coreProperties>
</file>