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2" w:rsidRPr="001162FE" w:rsidRDefault="00123A68" w:rsidP="001162FE">
      <w:pPr>
        <w:jc w:val="center"/>
        <w:rPr>
          <w:b/>
          <w:sz w:val="28"/>
          <w:szCs w:val="28"/>
        </w:rPr>
      </w:pPr>
      <w:r w:rsidRPr="00123A68">
        <w:rPr>
          <w:noProof/>
          <w:lang w:eastAsia="en-NZ"/>
        </w:rPr>
        <w:drawing>
          <wp:inline distT="0" distB="0" distL="0" distR="0" wp14:anchorId="7ED633EB" wp14:editId="7A92C0F8">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2B2924">
        <w:rPr>
          <w:b/>
          <w:sz w:val="28"/>
          <w:szCs w:val="28"/>
        </w:rPr>
        <w:t>Gonorrhoea</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rsidTr="00877CF2">
        <w:trPr>
          <w:jc w:val="center"/>
        </w:trPr>
        <w:tc>
          <w:tcPr>
            <w:tcW w:w="1555" w:type="dxa"/>
          </w:tcPr>
          <w:p w:rsidR="001162FE" w:rsidRDefault="001162FE">
            <w:r>
              <w:t>Issue date:</w:t>
            </w:r>
          </w:p>
        </w:tc>
        <w:tc>
          <w:tcPr>
            <w:tcW w:w="1984" w:type="dxa"/>
          </w:tcPr>
          <w:p w:rsidR="001162FE" w:rsidRDefault="001162FE"/>
        </w:tc>
        <w:tc>
          <w:tcPr>
            <w:tcW w:w="1843" w:type="dxa"/>
          </w:tcPr>
          <w:p w:rsidR="001162FE" w:rsidRDefault="001162FE">
            <w:r>
              <w:t>Review date:</w:t>
            </w:r>
          </w:p>
        </w:tc>
        <w:tc>
          <w:tcPr>
            <w:tcW w:w="2268" w:type="dxa"/>
          </w:tcPr>
          <w:p w:rsidR="001162FE" w:rsidRDefault="001162FE"/>
        </w:tc>
      </w:tr>
    </w:tbl>
    <w:p w:rsidR="001162FE" w:rsidRDefault="001162FE"/>
    <w:p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rsidTr="001162FE">
        <w:tc>
          <w:tcPr>
            <w:tcW w:w="2689" w:type="dxa"/>
          </w:tcPr>
          <w:p w:rsidR="001162FE" w:rsidRPr="0064385C" w:rsidRDefault="00877CF2">
            <w:pPr>
              <w:rPr>
                <w:b/>
              </w:rPr>
            </w:pPr>
            <w:r w:rsidRPr="0064385C">
              <w:rPr>
                <w:b/>
              </w:rPr>
              <w:t>Standing Order Name</w:t>
            </w:r>
          </w:p>
        </w:tc>
        <w:tc>
          <w:tcPr>
            <w:tcW w:w="8073" w:type="dxa"/>
          </w:tcPr>
          <w:p w:rsidR="001162FE" w:rsidRDefault="002B2924">
            <w:r>
              <w:t>Gonorrhoea</w:t>
            </w:r>
          </w:p>
        </w:tc>
      </w:tr>
      <w:tr w:rsidR="002B2924" w:rsidTr="001162FE">
        <w:tc>
          <w:tcPr>
            <w:tcW w:w="2689" w:type="dxa"/>
          </w:tcPr>
          <w:p w:rsidR="002B2924" w:rsidRPr="0064385C" w:rsidRDefault="002B2924" w:rsidP="002B2924">
            <w:pPr>
              <w:rPr>
                <w:b/>
              </w:rPr>
            </w:pPr>
            <w:r w:rsidRPr="0064385C">
              <w:rPr>
                <w:b/>
              </w:rPr>
              <w:t>Rationale</w:t>
            </w:r>
          </w:p>
        </w:tc>
        <w:tc>
          <w:tcPr>
            <w:tcW w:w="8073" w:type="dxa"/>
          </w:tcPr>
          <w:p w:rsidR="002B2924" w:rsidRDefault="002B2924" w:rsidP="002B2924">
            <w:r>
              <w:t>To promptly</w:t>
            </w:r>
            <w:r w:rsidRPr="00156F91">
              <w:t xml:space="preserve"> and appropriate</w:t>
            </w:r>
            <w:r>
              <w:t>ly treat</w:t>
            </w:r>
            <w:r w:rsidRPr="00156F91">
              <w:t xml:space="preserve"> patients with </w:t>
            </w:r>
            <w:r>
              <w:t>gonorrhoea</w:t>
            </w:r>
            <w:r w:rsidRPr="00156F91">
              <w:t xml:space="preserve"> and follow-up of contacts</w:t>
            </w:r>
          </w:p>
        </w:tc>
      </w:tr>
      <w:tr w:rsidR="002B2924" w:rsidTr="001162FE">
        <w:tc>
          <w:tcPr>
            <w:tcW w:w="2689" w:type="dxa"/>
          </w:tcPr>
          <w:p w:rsidR="002B2924" w:rsidRPr="0064385C" w:rsidRDefault="002B2924" w:rsidP="002B2924">
            <w:pPr>
              <w:rPr>
                <w:b/>
              </w:rPr>
            </w:pPr>
            <w:r w:rsidRPr="0064385C">
              <w:rPr>
                <w:b/>
              </w:rPr>
              <w:t>Scope (condition and patient group)</w:t>
            </w:r>
          </w:p>
        </w:tc>
        <w:tc>
          <w:tcPr>
            <w:tcW w:w="8073" w:type="dxa"/>
          </w:tcPr>
          <w:p w:rsidR="002B2924" w:rsidRDefault="002B2924" w:rsidP="002B2924">
            <w:r>
              <w:t>Adult patients presenting with a diagnosis of gonorrhoea or have had unprotected sex with someone who has been treated with gonorrhoea.</w:t>
            </w:r>
          </w:p>
        </w:tc>
      </w:tr>
      <w:tr w:rsidR="000E47A6" w:rsidTr="001162FE">
        <w:tc>
          <w:tcPr>
            <w:tcW w:w="2689" w:type="dxa"/>
          </w:tcPr>
          <w:p w:rsidR="000E47A6" w:rsidRPr="0064385C" w:rsidRDefault="000E47A6">
            <w:pPr>
              <w:rPr>
                <w:b/>
              </w:rPr>
            </w:pPr>
            <w:r>
              <w:rPr>
                <w:b/>
              </w:rPr>
              <w:t>Red Flags</w:t>
            </w:r>
          </w:p>
        </w:tc>
        <w:tc>
          <w:tcPr>
            <w:tcW w:w="8073" w:type="dxa"/>
          </w:tcPr>
          <w:p w:rsidR="000E47A6" w:rsidRDefault="002B2924">
            <w:r w:rsidRPr="002B2924">
              <w:t>Differential diagnosis with other sexual transmitted diseases.</w:t>
            </w:r>
          </w:p>
        </w:tc>
      </w:tr>
      <w:tr w:rsidR="001162FE" w:rsidTr="001162FE">
        <w:tc>
          <w:tcPr>
            <w:tcW w:w="2689" w:type="dxa"/>
          </w:tcPr>
          <w:p w:rsidR="001162FE" w:rsidRPr="0064385C" w:rsidRDefault="008C2A3F">
            <w:pPr>
              <w:rPr>
                <w:b/>
              </w:rPr>
            </w:pPr>
            <w:r w:rsidRPr="0064385C">
              <w:rPr>
                <w:b/>
              </w:rPr>
              <w:t>Assessment</w:t>
            </w:r>
          </w:p>
        </w:tc>
        <w:tc>
          <w:tcPr>
            <w:tcW w:w="8073" w:type="dxa"/>
          </w:tcPr>
          <w:p w:rsidR="002B2924" w:rsidRDefault="002B2924" w:rsidP="002B2924">
            <w:r>
              <w:t>1. This Standing order should be followed when Gonorrhoea has already been confirmed by laboratory testing</w:t>
            </w:r>
            <w:r w:rsidR="0042646E">
              <w:t xml:space="preserve"> or to treat unprotected sexual contacts of those pati</w:t>
            </w:r>
            <w:r w:rsidR="00E63BFE">
              <w:t>e</w:t>
            </w:r>
            <w:r w:rsidR="0042646E">
              <w:t>nts with a confirmed diagnosis of gonorrhoea</w:t>
            </w:r>
            <w:r>
              <w:t>.</w:t>
            </w:r>
          </w:p>
          <w:p w:rsidR="0042646E" w:rsidRPr="0042646E" w:rsidRDefault="0042646E" w:rsidP="002B2924">
            <w:pPr>
              <w:rPr>
                <w:sz w:val="12"/>
                <w:szCs w:val="12"/>
              </w:rPr>
            </w:pPr>
          </w:p>
          <w:p w:rsidR="002B2924" w:rsidRDefault="002B2924" w:rsidP="002B2924">
            <w:r>
              <w:t xml:space="preserve">2. For more information about assessment go to </w:t>
            </w:r>
            <w:hyperlink r:id="rId8" w:history="1">
              <w:r w:rsidR="0042646E" w:rsidRPr="009E245E">
                <w:rPr>
                  <w:rStyle w:val="Hyperlink"/>
                </w:rPr>
                <w:t>http://www.nzshs.org/docman/guidelines/principles-of-sexual-health-care/148-sexual-health-check-summary/file</w:t>
              </w:r>
            </w:hyperlink>
          </w:p>
          <w:p w:rsidR="0042646E" w:rsidRPr="0042646E" w:rsidRDefault="0042646E" w:rsidP="002B2924">
            <w:pPr>
              <w:rPr>
                <w:sz w:val="12"/>
                <w:szCs w:val="12"/>
              </w:rPr>
            </w:pPr>
          </w:p>
          <w:p w:rsidR="002B2924" w:rsidRDefault="002B2924" w:rsidP="002B2924">
            <w:r>
              <w:t>3. The majority of men with urethral gonorrhoea are symptomatic. Fifty percent of women with urogenital infection are likely to be symptomatic. Non-genital infections in both genders are usually asymptomatic.</w:t>
            </w:r>
          </w:p>
          <w:p w:rsidR="0042646E" w:rsidRPr="0042646E" w:rsidRDefault="0042646E" w:rsidP="002B2924">
            <w:pPr>
              <w:rPr>
                <w:sz w:val="12"/>
                <w:szCs w:val="12"/>
              </w:rPr>
            </w:pPr>
          </w:p>
          <w:p w:rsidR="001162FE" w:rsidRDefault="002B2924" w:rsidP="002B2924">
            <w:r>
              <w:t>4. Symptoms and signs are not sensit</w:t>
            </w:r>
            <w:r w:rsidR="00353AE8">
              <w:t>ive predictors of N. gonorrhoea</w:t>
            </w:r>
            <w:r>
              <w:t xml:space="preserve"> infection, because other STIs, such as chlamydia, may produce similar symptoms. The prevalence of asymptomatic infections is influenced by the reason for presentation (for example, contacts versus index cases).</w:t>
            </w:r>
          </w:p>
        </w:tc>
      </w:tr>
      <w:tr w:rsidR="001162FE" w:rsidTr="001162FE">
        <w:tc>
          <w:tcPr>
            <w:tcW w:w="2689" w:type="dxa"/>
          </w:tcPr>
          <w:p w:rsidR="001162FE" w:rsidRPr="0064385C" w:rsidRDefault="0064385C">
            <w:pPr>
              <w:rPr>
                <w:b/>
              </w:rPr>
            </w:pPr>
            <w:r>
              <w:rPr>
                <w:b/>
              </w:rPr>
              <w:t>Indication</w:t>
            </w:r>
          </w:p>
        </w:tc>
        <w:tc>
          <w:tcPr>
            <w:tcW w:w="8073" w:type="dxa"/>
          </w:tcPr>
          <w:p w:rsidR="001162FE" w:rsidRPr="002B2924" w:rsidRDefault="002B2924">
            <w:pPr>
              <w:rPr>
                <w:b/>
              </w:rPr>
            </w:pPr>
            <w:r w:rsidRPr="002B2924">
              <w:rPr>
                <w:b/>
              </w:rPr>
              <w:t>Treatment of diagnosed gonorrhoea infections or the contacts of patients with a diagnosis of gonorrhoea</w:t>
            </w:r>
          </w:p>
        </w:tc>
      </w:tr>
      <w:tr w:rsidR="00B37F77" w:rsidTr="001162FE">
        <w:tc>
          <w:tcPr>
            <w:tcW w:w="2689" w:type="dxa"/>
          </w:tcPr>
          <w:p w:rsidR="00B37F77" w:rsidRPr="0064385C" w:rsidRDefault="00B37F77" w:rsidP="00B37F77">
            <w:pPr>
              <w:rPr>
                <w:b/>
              </w:rPr>
            </w:pPr>
            <w:r w:rsidRPr="0064385C">
              <w:rPr>
                <w:b/>
              </w:rPr>
              <w:t>Medicine</w:t>
            </w:r>
          </w:p>
        </w:tc>
        <w:tc>
          <w:tcPr>
            <w:tcW w:w="8073" w:type="dxa"/>
          </w:tcPr>
          <w:p w:rsidR="00B37F77" w:rsidRDefault="00B37F77" w:rsidP="00B37F77">
            <w:r w:rsidRPr="009C6213">
              <w:rPr>
                <w:b/>
              </w:rPr>
              <w:t>Azithromycin</w:t>
            </w:r>
            <w:r w:rsidRPr="00AE6781">
              <w:t xml:space="preserve"> </w:t>
            </w:r>
            <w:r>
              <w:t>500mg tablets</w:t>
            </w:r>
          </w:p>
        </w:tc>
      </w:tr>
      <w:tr w:rsidR="00B37F77" w:rsidTr="001162FE">
        <w:tc>
          <w:tcPr>
            <w:tcW w:w="2689" w:type="dxa"/>
          </w:tcPr>
          <w:p w:rsidR="00B37F77" w:rsidRPr="0064385C" w:rsidRDefault="00B37F77" w:rsidP="00B37F77">
            <w:pPr>
              <w:rPr>
                <w:b/>
              </w:rPr>
            </w:pPr>
            <w:r w:rsidRPr="0064385C">
              <w:rPr>
                <w:b/>
              </w:rPr>
              <w:t>Dosage instructions</w:t>
            </w:r>
          </w:p>
        </w:tc>
        <w:tc>
          <w:tcPr>
            <w:tcW w:w="8073" w:type="dxa"/>
          </w:tcPr>
          <w:p w:rsidR="00B37F77" w:rsidRDefault="00B37F77" w:rsidP="00B37F77">
            <w:r w:rsidRPr="00AE6781">
              <w:t>1 g immediately</w:t>
            </w:r>
          </w:p>
        </w:tc>
      </w:tr>
      <w:tr w:rsidR="00B37F77" w:rsidTr="001162FE">
        <w:tc>
          <w:tcPr>
            <w:tcW w:w="2689" w:type="dxa"/>
          </w:tcPr>
          <w:p w:rsidR="00B37F77" w:rsidRPr="0064385C" w:rsidRDefault="00B37F77" w:rsidP="00B37F77">
            <w:pPr>
              <w:rPr>
                <w:b/>
              </w:rPr>
            </w:pPr>
            <w:r w:rsidRPr="0064385C">
              <w:rPr>
                <w:b/>
              </w:rPr>
              <w:t>Route of administration</w:t>
            </w:r>
          </w:p>
        </w:tc>
        <w:tc>
          <w:tcPr>
            <w:tcW w:w="8073" w:type="dxa"/>
          </w:tcPr>
          <w:p w:rsidR="00B37F77" w:rsidRDefault="00B37F77" w:rsidP="00B37F77">
            <w:r>
              <w:t>Oral</w:t>
            </w:r>
          </w:p>
        </w:tc>
      </w:tr>
      <w:tr w:rsidR="00B37F77" w:rsidTr="001162FE">
        <w:tc>
          <w:tcPr>
            <w:tcW w:w="2689" w:type="dxa"/>
          </w:tcPr>
          <w:p w:rsidR="00B37F77" w:rsidRPr="0064385C" w:rsidRDefault="00B37F77" w:rsidP="00B37F77">
            <w:pPr>
              <w:rPr>
                <w:b/>
              </w:rPr>
            </w:pPr>
            <w:r>
              <w:rPr>
                <w:b/>
              </w:rPr>
              <w:t>Quantity to be given</w:t>
            </w:r>
          </w:p>
        </w:tc>
        <w:tc>
          <w:tcPr>
            <w:tcW w:w="8073" w:type="dxa"/>
          </w:tcPr>
          <w:p w:rsidR="00B37F77" w:rsidRDefault="00B37F77" w:rsidP="00B37F77">
            <w:r>
              <w:t>2 x 500mg tablets</w:t>
            </w:r>
          </w:p>
        </w:tc>
      </w:tr>
      <w:tr w:rsidR="00B37F77" w:rsidTr="001162FE">
        <w:tc>
          <w:tcPr>
            <w:tcW w:w="2689" w:type="dxa"/>
          </w:tcPr>
          <w:p w:rsidR="00B37F77" w:rsidRPr="0064385C" w:rsidRDefault="00B37F77" w:rsidP="00B37F77">
            <w:pPr>
              <w:rPr>
                <w:b/>
              </w:rPr>
            </w:pPr>
            <w:r w:rsidRPr="0064385C">
              <w:rPr>
                <w:b/>
              </w:rPr>
              <w:t>Contraindications</w:t>
            </w:r>
          </w:p>
        </w:tc>
        <w:tc>
          <w:tcPr>
            <w:tcW w:w="8073" w:type="dxa"/>
          </w:tcPr>
          <w:p w:rsidR="00B37F77" w:rsidRDefault="00B37F77" w:rsidP="00B37F77">
            <w:r>
              <w:t>C</w:t>
            </w:r>
            <w:r w:rsidRPr="00AE6781">
              <w:t>oncomitant colchicine in patients with hepatic or renal impairment (increased risk of colchicine toxicity)</w:t>
            </w:r>
          </w:p>
        </w:tc>
      </w:tr>
      <w:tr w:rsidR="00B37F77" w:rsidTr="009C6213">
        <w:tc>
          <w:tcPr>
            <w:tcW w:w="2689" w:type="dxa"/>
            <w:tcBorders>
              <w:bottom w:val="single" w:sz="4" w:space="0" w:color="auto"/>
            </w:tcBorders>
          </w:tcPr>
          <w:p w:rsidR="00B37F77" w:rsidRPr="0064385C" w:rsidRDefault="00B37F77" w:rsidP="00B37F77">
            <w:pPr>
              <w:rPr>
                <w:b/>
              </w:rPr>
            </w:pPr>
            <w:r w:rsidRPr="0064385C">
              <w:rPr>
                <w:b/>
              </w:rPr>
              <w:t>Precautions</w:t>
            </w:r>
          </w:p>
        </w:tc>
        <w:tc>
          <w:tcPr>
            <w:tcW w:w="8073" w:type="dxa"/>
            <w:tcBorders>
              <w:bottom w:val="single" w:sz="4" w:space="0" w:color="auto"/>
            </w:tcBorders>
          </w:tcPr>
          <w:p w:rsidR="00B37F77" w:rsidRDefault="00B37F77" w:rsidP="00B37F77">
            <w:pPr>
              <w:pStyle w:val="ListParagraph"/>
              <w:numPr>
                <w:ilvl w:val="0"/>
                <w:numId w:val="1"/>
              </w:numPr>
            </w:pPr>
            <w:r>
              <w:t>W</w:t>
            </w:r>
            <w:r w:rsidRPr="00AE6781">
              <w:t>arfarin—monitor INR 3 days after starting antibiotics</w:t>
            </w:r>
          </w:p>
          <w:p w:rsidR="00B37F77" w:rsidRDefault="00B37F77" w:rsidP="00B37F77">
            <w:pPr>
              <w:pStyle w:val="ListParagraph"/>
              <w:numPr>
                <w:ilvl w:val="0"/>
                <w:numId w:val="1"/>
              </w:numPr>
            </w:pPr>
            <w:r>
              <w:t>Multiple drug to drug interactions- check</w:t>
            </w:r>
          </w:p>
          <w:p w:rsidR="00B37F77" w:rsidRDefault="00B37F77" w:rsidP="00B37F77">
            <w:pPr>
              <w:pStyle w:val="ListParagraph"/>
              <w:numPr>
                <w:ilvl w:val="0"/>
                <w:numId w:val="1"/>
              </w:numPr>
            </w:pPr>
            <w:r>
              <w:t>Pregnancy- category B1</w:t>
            </w:r>
          </w:p>
        </w:tc>
      </w:tr>
      <w:tr w:rsidR="00B37F77" w:rsidRPr="00B37F77" w:rsidTr="009C6213">
        <w:tc>
          <w:tcPr>
            <w:tcW w:w="2689" w:type="dxa"/>
            <w:tcBorders>
              <w:right w:val="nil"/>
            </w:tcBorders>
          </w:tcPr>
          <w:p w:rsidR="00B37F77" w:rsidRPr="00B37F77" w:rsidRDefault="00B37F77">
            <w:pPr>
              <w:rPr>
                <w:b/>
                <w:sz w:val="12"/>
                <w:szCs w:val="12"/>
              </w:rPr>
            </w:pPr>
          </w:p>
        </w:tc>
        <w:tc>
          <w:tcPr>
            <w:tcW w:w="8073" w:type="dxa"/>
            <w:tcBorders>
              <w:left w:val="nil"/>
            </w:tcBorders>
          </w:tcPr>
          <w:p w:rsidR="00B37F77" w:rsidRPr="00B37F77" w:rsidRDefault="00B37F77">
            <w:pPr>
              <w:rPr>
                <w:sz w:val="12"/>
                <w:szCs w:val="12"/>
              </w:rPr>
            </w:pPr>
          </w:p>
        </w:tc>
      </w:tr>
      <w:tr w:rsidR="00B37F77" w:rsidRPr="002B2924" w:rsidTr="00213CD7">
        <w:tc>
          <w:tcPr>
            <w:tcW w:w="2689" w:type="dxa"/>
          </w:tcPr>
          <w:p w:rsidR="00B37F77" w:rsidRPr="0064385C" w:rsidRDefault="00B37F77" w:rsidP="00213CD7">
            <w:pPr>
              <w:rPr>
                <w:b/>
              </w:rPr>
            </w:pPr>
            <w:r>
              <w:rPr>
                <w:b/>
              </w:rPr>
              <w:t>Indication</w:t>
            </w:r>
          </w:p>
        </w:tc>
        <w:tc>
          <w:tcPr>
            <w:tcW w:w="8073" w:type="dxa"/>
          </w:tcPr>
          <w:p w:rsidR="00B37F77" w:rsidRDefault="006975A9" w:rsidP="00213CD7">
            <w:pPr>
              <w:rPr>
                <w:b/>
              </w:rPr>
            </w:pPr>
            <w:r>
              <w:rPr>
                <w:b/>
              </w:rPr>
              <w:t xml:space="preserve">To be given </w:t>
            </w:r>
            <w:r w:rsidRPr="006975A9">
              <w:rPr>
                <w:b/>
                <w:u w:val="single"/>
              </w:rPr>
              <w:t>with</w:t>
            </w:r>
            <w:r>
              <w:rPr>
                <w:b/>
              </w:rPr>
              <w:t xml:space="preserve"> azithromycin in the following patients:</w:t>
            </w:r>
          </w:p>
          <w:p w:rsidR="006975A9" w:rsidRPr="006975A9" w:rsidRDefault="006975A9" w:rsidP="006975A9">
            <w:pPr>
              <w:pStyle w:val="ListParagraph"/>
              <w:numPr>
                <w:ilvl w:val="0"/>
                <w:numId w:val="4"/>
              </w:numPr>
              <w:rPr>
                <w:b/>
              </w:rPr>
            </w:pPr>
            <w:r w:rsidRPr="006975A9">
              <w:rPr>
                <w:b/>
              </w:rPr>
              <w:t xml:space="preserve">Antimicrobial susceptibilities are not available. </w:t>
            </w:r>
          </w:p>
          <w:p w:rsidR="006975A9" w:rsidRPr="006975A9" w:rsidRDefault="006975A9" w:rsidP="006975A9">
            <w:pPr>
              <w:pStyle w:val="ListParagraph"/>
              <w:numPr>
                <w:ilvl w:val="0"/>
                <w:numId w:val="4"/>
              </w:numPr>
              <w:rPr>
                <w:b/>
              </w:rPr>
            </w:pPr>
            <w:r w:rsidRPr="006975A9">
              <w:rPr>
                <w:b/>
              </w:rPr>
              <w:t xml:space="preserve">Susceptibilities show ciprofloxacin resistance. </w:t>
            </w:r>
          </w:p>
          <w:p w:rsidR="006975A9" w:rsidRPr="006975A9" w:rsidRDefault="006975A9" w:rsidP="006975A9">
            <w:pPr>
              <w:pStyle w:val="ListParagraph"/>
              <w:numPr>
                <w:ilvl w:val="0"/>
                <w:numId w:val="4"/>
              </w:numPr>
              <w:rPr>
                <w:b/>
              </w:rPr>
            </w:pPr>
            <w:r w:rsidRPr="006975A9">
              <w:rPr>
                <w:b/>
              </w:rPr>
              <w:t>The patie</w:t>
            </w:r>
            <w:r w:rsidR="00FA03ED">
              <w:rPr>
                <w:b/>
              </w:rPr>
              <w:t xml:space="preserve">nt is pregnant or breastfeeding </w:t>
            </w:r>
            <w:r w:rsidR="00FA03ED" w:rsidRPr="00FA03ED">
              <w:t>(category B1).</w:t>
            </w:r>
            <w:r w:rsidRPr="006975A9">
              <w:rPr>
                <w:b/>
              </w:rPr>
              <w:t xml:space="preserve"> </w:t>
            </w:r>
          </w:p>
        </w:tc>
      </w:tr>
      <w:tr w:rsidR="00B37F77" w:rsidTr="00213CD7">
        <w:tc>
          <w:tcPr>
            <w:tcW w:w="2689" w:type="dxa"/>
          </w:tcPr>
          <w:p w:rsidR="00B37F77" w:rsidRPr="0064385C" w:rsidRDefault="00B37F77" w:rsidP="00213CD7">
            <w:pPr>
              <w:rPr>
                <w:b/>
              </w:rPr>
            </w:pPr>
            <w:r w:rsidRPr="0064385C">
              <w:rPr>
                <w:b/>
              </w:rPr>
              <w:t>Medicine</w:t>
            </w:r>
          </w:p>
        </w:tc>
        <w:tc>
          <w:tcPr>
            <w:tcW w:w="8073" w:type="dxa"/>
          </w:tcPr>
          <w:p w:rsidR="00B37F77" w:rsidRPr="009C6213" w:rsidRDefault="008405AF" w:rsidP="008405AF">
            <w:pPr>
              <w:rPr>
                <w:b/>
              </w:rPr>
            </w:pPr>
            <w:r w:rsidRPr="009C6213">
              <w:rPr>
                <w:b/>
              </w:rPr>
              <w:t xml:space="preserve">Ceftriaxone  </w:t>
            </w:r>
          </w:p>
        </w:tc>
      </w:tr>
      <w:tr w:rsidR="00B37F77" w:rsidTr="00213CD7">
        <w:tc>
          <w:tcPr>
            <w:tcW w:w="2689" w:type="dxa"/>
          </w:tcPr>
          <w:p w:rsidR="00B37F77" w:rsidRPr="0064385C" w:rsidRDefault="00B37F77" w:rsidP="00213CD7">
            <w:pPr>
              <w:rPr>
                <w:b/>
              </w:rPr>
            </w:pPr>
            <w:r w:rsidRPr="0064385C">
              <w:rPr>
                <w:b/>
              </w:rPr>
              <w:t>Dosage instructions</w:t>
            </w:r>
          </w:p>
        </w:tc>
        <w:tc>
          <w:tcPr>
            <w:tcW w:w="8073" w:type="dxa"/>
          </w:tcPr>
          <w:p w:rsidR="00B37F77" w:rsidRDefault="008405AF" w:rsidP="00213CD7">
            <w:r>
              <w:t>500mg intramuscularly immediately</w:t>
            </w:r>
          </w:p>
        </w:tc>
      </w:tr>
      <w:tr w:rsidR="00B37F77" w:rsidTr="00213CD7">
        <w:tc>
          <w:tcPr>
            <w:tcW w:w="2689" w:type="dxa"/>
          </w:tcPr>
          <w:p w:rsidR="00B37F77" w:rsidRPr="0064385C" w:rsidRDefault="00B37F77" w:rsidP="00213CD7">
            <w:pPr>
              <w:rPr>
                <w:b/>
              </w:rPr>
            </w:pPr>
            <w:r w:rsidRPr="0064385C">
              <w:rPr>
                <w:b/>
              </w:rPr>
              <w:t>Route of administration</w:t>
            </w:r>
          </w:p>
        </w:tc>
        <w:tc>
          <w:tcPr>
            <w:tcW w:w="8073" w:type="dxa"/>
          </w:tcPr>
          <w:p w:rsidR="00B37F77" w:rsidRDefault="008405AF" w:rsidP="00213CD7">
            <w:r>
              <w:t xml:space="preserve">Intramuscular </w:t>
            </w:r>
          </w:p>
        </w:tc>
      </w:tr>
      <w:tr w:rsidR="00B37F77" w:rsidTr="00213CD7">
        <w:tc>
          <w:tcPr>
            <w:tcW w:w="2689" w:type="dxa"/>
          </w:tcPr>
          <w:p w:rsidR="00B37F77" w:rsidRPr="0064385C" w:rsidRDefault="00B37F77" w:rsidP="00213CD7">
            <w:pPr>
              <w:rPr>
                <w:b/>
              </w:rPr>
            </w:pPr>
            <w:r>
              <w:rPr>
                <w:b/>
              </w:rPr>
              <w:t>Quantity to be given</w:t>
            </w:r>
          </w:p>
        </w:tc>
        <w:tc>
          <w:tcPr>
            <w:tcW w:w="8073" w:type="dxa"/>
          </w:tcPr>
          <w:p w:rsidR="00B37F77" w:rsidRDefault="00FA03ED" w:rsidP="00213CD7">
            <w:r>
              <w:t>1 x 500mg vial</w:t>
            </w:r>
          </w:p>
        </w:tc>
      </w:tr>
      <w:tr w:rsidR="00B37F77" w:rsidTr="00213CD7">
        <w:tc>
          <w:tcPr>
            <w:tcW w:w="2689" w:type="dxa"/>
          </w:tcPr>
          <w:p w:rsidR="00B37F77" w:rsidRPr="0064385C" w:rsidRDefault="00B37F77" w:rsidP="00213CD7">
            <w:pPr>
              <w:rPr>
                <w:b/>
              </w:rPr>
            </w:pPr>
            <w:r w:rsidRPr="0064385C">
              <w:rPr>
                <w:b/>
              </w:rPr>
              <w:t>Contraindications</w:t>
            </w:r>
          </w:p>
        </w:tc>
        <w:tc>
          <w:tcPr>
            <w:tcW w:w="8073" w:type="dxa"/>
          </w:tcPr>
          <w:p w:rsidR="008F44B3" w:rsidRDefault="006975A9" w:rsidP="00213CD7">
            <w:r>
              <w:t xml:space="preserve">Allergy to </w:t>
            </w:r>
            <w:proofErr w:type="spellStart"/>
            <w:r>
              <w:t>cephalosporins</w:t>
            </w:r>
            <w:proofErr w:type="spellEnd"/>
            <w:r w:rsidR="00B60973">
              <w:t xml:space="preserve">. </w:t>
            </w:r>
          </w:p>
          <w:p w:rsidR="00B37F77" w:rsidRDefault="008F44B3" w:rsidP="00213CD7">
            <w:r w:rsidRPr="008F44B3">
              <w:t>Avoid as</w:t>
            </w:r>
            <w:r w:rsidR="00B60973" w:rsidRPr="008F44B3">
              <w:t xml:space="preserve"> a treatment option in patients who have a genuine, immediate, or severe hypersensitivity to penicillin or other beta-lactam drugs.</w:t>
            </w:r>
          </w:p>
          <w:p w:rsidR="00353AE8" w:rsidRDefault="00353AE8" w:rsidP="00213CD7">
            <w:bookmarkStart w:id="0" w:name="_GoBack"/>
            <w:bookmarkEnd w:id="0"/>
          </w:p>
        </w:tc>
      </w:tr>
      <w:tr w:rsidR="00B37F77" w:rsidTr="009C6213">
        <w:tc>
          <w:tcPr>
            <w:tcW w:w="2689" w:type="dxa"/>
            <w:tcBorders>
              <w:bottom w:val="single" w:sz="4" w:space="0" w:color="auto"/>
            </w:tcBorders>
          </w:tcPr>
          <w:p w:rsidR="00B37F77" w:rsidRPr="0064385C" w:rsidRDefault="00B37F77" w:rsidP="00213CD7">
            <w:pPr>
              <w:rPr>
                <w:b/>
              </w:rPr>
            </w:pPr>
            <w:r w:rsidRPr="0064385C">
              <w:rPr>
                <w:b/>
              </w:rPr>
              <w:lastRenderedPageBreak/>
              <w:t>Precautions</w:t>
            </w:r>
          </w:p>
        </w:tc>
        <w:tc>
          <w:tcPr>
            <w:tcW w:w="8073" w:type="dxa"/>
            <w:tcBorders>
              <w:bottom w:val="single" w:sz="4" w:space="0" w:color="auto"/>
            </w:tcBorders>
          </w:tcPr>
          <w:p w:rsidR="00FA03ED" w:rsidRPr="00FA03ED" w:rsidRDefault="00FA03ED" w:rsidP="00FA03ED">
            <w:pPr>
              <w:rPr>
                <w:u w:val="single"/>
              </w:rPr>
            </w:pPr>
            <w:r w:rsidRPr="00FA03ED">
              <w:rPr>
                <w:u w:val="single"/>
              </w:rPr>
              <w:t>Instructions for making up ceftriaxone IM injection</w:t>
            </w:r>
          </w:p>
          <w:p w:rsidR="00FA03ED" w:rsidRDefault="00FA03ED" w:rsidP="00FA03ED">
            <w:r>
              <w:t>The recommended dose is 500 mg IM for the treatment of gonorrhoea.</w:t>
            </w:r>
          </w:p>
          <w:p w:rsidR="00FA03ED" w:rsidRDefault="00FA03ED" w:rsidP="00FA03ED">
            <w:r>
              <w:t>Use a wide bore needle (18G) for drawing up the solution and a long small gauge needle (22G - 1.5 inch long) for injecting it.</w:t>
            </w:r>
          </w:p>
          <w:p w:rsidR="00FA03ED" w:rsidRDefault="00FA03ED" w:rsidP="00FA03ED">
            <w:r>
              <w:t>To make a 500 mg solution of ceftriaxone for IM injection:</w:t>
            </w:r>
          </w:p>
          <w:p w:rsidR="00FA03ED" w:rsidRDefault="00FA03ED" w:rsidP="00FA03ED">
            <w:r>
              <w:t xml:space="preserve">1. Use a 500mg vial of ceftriaxone. </w:t>
            </w:r>
          </w:p>
          <w:p w:rsidR="00FA03ED" w:rsidRDefault="00FA03ED" w:rsidP="00FA03ED">
            <w:r>
              <w:t>2. Add 2mL of 1% lignocaine hydrochloride solution and shake gently un</w:t>
            </w:r>
            <w:r w:rsidR="00E63BFE">
              <w:t>til all the powder is dissolved or according to data sheet.</w:t>
            </w:r>
            <w:r>
              <w:t xml:space="preserve"> </w:t>
            </w:r>
          </w:p>
          <w:p w:rsidR="00B37F77" w:rsidRDefault="00FA03ED" w:rsidP="00FA03ED">
            <w:r>
              <w:t xml:space="preserve">3. Inject into the body of a relatively large muscle. </w:t>
            </w:r>
            <w:proofErr w:type="gramStart"/>
            <w:r>
              <w:t>e.g</w:t>
            </w:r>
            <w:proofErr w:type="gramEnd"/>
            <w:r>
              <w:t>. upper outer quadrant of the buttock.</w:t>
            </w:r>
          </w:p>
        </w:tc>
      </w:tr>
      <w:tr w:rsidR="00B37F77" w:rsidRPr="00B37F77" w:rsidTr="009C6213">
        <w:tc>
          <w:tcPr>
            <w:tcW w:w="2689" w:type="dxa"/>
            <w:tcBorders>
              <w:right w:val="nil"/>
            </w:tcBorders>
          </w:tcPr>
          <w:p w:rsidR="00B37F77" w:rsidRPr="00B37F77" w:rsidRDefault="00B37F77" w:rsidP="00213CD7">
            <w:pPr>
              <w:rPr>
                <w:b/>
                <w:sz w:val="12"/>
                <w:szCs w:val="12"/>
              </w:rPr>
            </w:pPr>
          </w:p>
        </w:tc>
        <w:tc>
          <w:tcPr>
            <w:tcW w:w="8073" w:type="dxa"/>
            <w:tcBorders>
              <w:left w:val="nil"/>
            </w:tcBorders>
          </w:tcPr>
          <w:p w:rsidR="00B37F77" w:rsidRPr="00B37F77" w:rsidRDefault="00B37F77" w:rsidP="00213CD7">
            <w:pPr>
              <w:rPr>
                <w:sz w:val="12"/>
                <w:szCs w:val="12"/>
              </w:rPr>
            </w:pPr>
          </w:p>
        </w:tc>
      </w:tr>
      <w:tr w:rsidR="00B37F77" w:rsidRPr="002B2924" w:rsidTr="00213CD7">
        <w:tc>
          <w:tcPr>
            <w:tcW w:w="2689" w:type="dxa"/>
          </w:tcPr>
          <w:p w:rsidR="00B37F77" w:rsidRPr="0064385C" w:rsidRDefault="00B37F77" w:rsidP="00213CD7">
            <w:pPr>
              <w:rPr>
                <w:b/>
              </w:rPr>
            </w:pPr>
            <w:r>
              <w:rPr>
                <w:b/>
              </w:rPr>
              <w:t>Indication</w:t>
            </w:r>
          </w:p>
        </w:tc>
        <w:tc>
          <w:tcPr>
            <w:tcW w:w="8073" w:type="dxa"/>
          </w:tcPr>
          <w:p w:rsidR="00B37F77" w:rsidRPr="002B2924" w:rsidRDefault="006975A9" w:rsidP="00213CD7">
            <w:pPr>
              <w:rPr>
                <w:b/>
              </w:rPr>
            </w:pPr>
            <w:r>
              <w:rPr>
                <w:b/>
              </w:rPr>
              <w:t xml:space="preserve">To be given </w:t>
            </w:r>
            <w:r w:rsidRPr="006975A9">
              <w:rPr>
                <w:b/>
                <w:u w:val="single"/>
              </w:rPr>
              <w:t>with</w:t>
            </w:r>
            <w:r>
              <w:rPr>
                <w:b/>
              </w:rPr>
              <w:t xml:space="preserve"> azithromycin when </w:t>
            </w:r>
            <w:r w:rsidRPr="006975A9">
              <w:rPr>
                <w:b/>
              </w:rPr>
              <w:t>isolate is ciprofloxacin susceptible</w:t>
            </w:r>
          </w:p>
        </w:tc>
      </w:tr>
      <w:tr w:rsidR="00B37F77" w:rsidTr="00213CD7">
        <w:tc>
          <w:tcPr>
            <w:tcW w:w="2689" w:type="dxa"/>
          </w:tcPr>
          <w:p w:rsidR="00B37F77" w:rsidRPr="0064385C" w:rsidRDefault="00B37F77" w:rsidP="00213CD7">
            <w:pPr>
              <w:rPr>
                <w:b/>
              </w:rPr>
            </w:pPr>
            <w:r w:rsidRPr="0064385C">
              <w:rPr>
                <w:b/>
              </w:rPr>
              <w:t>Medicine</w:t>
            </w:r>
          </w:p>
        </w:tc>
        <w:tc>
          <w:tcPr>
            <w:tcW w:w="8073" w:type="dxa"/>
          </w:tcPr>
          <w:p w:rsidR="00B37F77" w:rsidRPr="009C6213" w:rsidRDefault="00E06BB9" w:rsidP="00213CD7">
            <w:pPr>
              <w:rPr>
                <w:b/>
              </w:rPr>
            </w:pPr>
            <w:r w:rsidRPr="009C6213">
              <w:rPr>
                <w:b/>
              </w:rPr>
              <w:t xml:space="preserve">Ciprofloxacin </w:t>
            </w:r>
          </w:p>
        </w:tc>
      </w:tr>
      <w:tr w:rsidR="00B37F77" w:rsidTr="00213CD7">
        <w:tc>
          <w:tcPr>
            <w:tcW w:w="2689" w:type="dxa"/>
          </w:tcPr>
          <w:p w:rsidR="00B37F77" w:rsidRPr="0064385C" w:rsidRDefault="00B37F77" w:rsidP="00213CD7">
            <w:pPr>
              <w:rPr>
                <w:b/>
              </w:rPr>
            </w:pPr>
            <w:r w:rsidRPr="0064385C">
              <w:rPr>
                <w:b/>
              </w:rPr>
              <w:t>Dosage instructions</w:t>
            </w:r>
          </w:p>
        </w:tc>
        <w:tc>
          <w:tcPr>
            <w:tcW w:w="8073" w:type="dxa"/>
          </w:tcPr>
          <w:p w:rsidR="00B37F77" w:rsidRDefault="00E06BB9" w:rsidP="00213CD7">
            <w:r>
              <w:t>500mg immediately</w:t>
            </w:r>
          </w:p>
        </w:tc>
      </w:tr>
      <w:tr w:rsidR="00B37F77" w:rsidTr="00213CD7">
        <w:tc>
          <w:tcPr>
            <w:tcW w:w="2689" w:type="dxa"/>
          </w:tcPr>
          <w:p w:rsidR="00B37F77" w:rsidRPr="0064385C" w:rsidRDefault="00B37F77" w:rsidP="00213CD7">
            <w:pPr>
              <w:rPr>
                <w:b/>
              </w:rPr>
            </w:pPr>
            <w:r w:rsidRPr="0064385C">
              <w:rPr>
                <w:b/>
              </w:rPr>
              <w:t>Route of administration</w:t>
            </w:r>
          </w:p>
        </w:tc>
        <w:tc>
          <w:tcPr>
            <w:tcW w:w="8073" w:type="dxa"/>
          </w:tcPr>
          <w:p w:rsidR="00B37F77" w:rsidRDefault="00E06BB9" w:rsidP="00213CD7">
            <w:r>
              <w:t>Oral</w:t>
            </w:r>
          </w:p>
        </w:tc>
      </w:tr>
      <w:tr w:rsidR="00B37F77" w:rsidTr="00213CD7">
        <w:tc>
          <w:tcPr>
            <w:tcW w:w="2689" w:type="dxa"/>
          </w:tcPr>
          <w:p w:rsidR="00B37F77" w:rsidRPr="0064385C" w:rsidRDefault="00B37F77" w:rsidP="00213CD7">
            <w:pPr>
              <w:rPr>
                <w:b/>
              </w:rPr>
            </w:pPr>
            <w:r>
              <w:rPr>
                <w:b/>
              </w:rPr>
              <w:t>Quantity to be given</w:t>
            </w:r>
          </w:p>
        </w:tc>
        <w:tc>
          <w:tcPr>
            <w:tcW w:w="8073" w:type="dxa"/>
          </w:tcPr>
          <w:p w:rsidR="00B37F77" w:rsidRDefault="00E06BB9" w:rsidP="00213CD7">
            <w:r>
              <w:t>1 x 500mg tablet</w:t>
            </w:r>
          </w:p>
        </w:tc>
      </w:tr>
      <w:tr w:rsidR="00B37F77" w:rsidTr="00213CD7">
        <w:tc>
          <w:tcPr>
            <w:tcW w:w="2689" w:type="dxa"/>
          </w:tcPr>
          <w:p w:rsidR="00B37F77" w:rsidRPr="0064385C" w:rsidRDefault="00B37F77" w:rsidP="00213CD7">
            <w:pPr>
              <w:rPr>
                <w:b/>
              </w:rPr>
            </w:pPr>
            <w:r w:rsidRPr="0064385C">
              <w:rPr>
                <w:b/>
              </w:rPr>
              <w:t>Contraindications</w:t>
            </w:r>
          </w:p>
        </w:tc>
        <w:tc>
          <w:tcPr>
            <w:tcW w:w="8073" w:type="dxa"/>
          </w:tcPr>
          <w:p w:rsidR="00B37F77" w:rsidRDefault="006975A9" w:rsidP="00213CD7">
            <w:r w:rsidRPr="006975A9">
              <w:t>Not in pregnancy, pharyngeal infection or in breastfeeding mothers</w:t>
            </w:r>
          </w:p>
        </w:tc>
      </w:tr>
      <w:tr w:rsidR="00B37F77" w:rsidTr="009C6213">
        <w:tc>
          <w:tcPr>
            <w:tcW w:w="2689" w:type="dxa"/>
            <w:tcBorders>
              <w:bottom w:val="single" w:sz="4" w:space="0" w:color="auto"/>
            </w:tcBorders>
          </w:tcPr>
          <w:p w:rsidR="00B37F77" w:rsidRPr="0064385C" w:rsidRDefault="00B37F77" w:rsidP="00213CD7">
            <w:pPr>
              <w:rPr>
                <w:b/>
              </w:rPr>
            </w:pPr>
            <w:r w:rsidRPr="0064385C">
              <w:rPr>
                <w:b/>
              </w:rPr>
              <w:t>Precautions</w:t>
            </w:r>
          </w:p>
        </w:tc>
        <w:tc>
          <w:tcPr>
            <w:tcW w:w="8073" w:type="dxa"/>
            <w:tcBorders>
              <w:bottom w:val="single" w:sz="4" w:space="0" w:color="auto"/>
            </w:tcBorders>
          </w:tcPr>
          <w:p w:rsidR="00B37F77" w:rsidRDefault="00FA03ED" w:rsidP="00FA03ED">
            <w:pPr>
              <w:pStyle w:val="ListParagraph"/>
              <w:numPr>
                <w:ilvl w:val="0"/>
                <w:numId w:val="5"/>
              </w:numPr>
            </w:pPr>
            <w:r>
              <w:t>P</w:t>
            </w:r>
            <w:r w:rsidRPr="00FA03ED">
              <w:t>atients with risk factors for QT-interval prolongation</w:t>
            </w:r>
          </w:p>
          <w:p w:rsidR="00FA03ED" w:rsidRDefault="00FA03ED" w:rsidP="00FA03ED">
            <w:pPr>
              <w:pStyle w:val="ListParagraph"/>
              <w:numPr>
                <w:ilvl w:val="0"/>
                <w:numId w:val="5"/>
              </w:numPr>
            </w:pPr>
            <w:r>
              <w:t>C</w:t>
            </w:r>
            <w:r w:rsidRPr="00FA03ED">
              <w:t>oncomitant use with other drugs known to prolong the QT-interval</w:t>
            </w:r>
          </w:p>
        </w:tc>
      </w:tr>
      <w:tr w:rsidR="00B37F77" w:rsidRPr="00B37F77" w:rsidTr="009C6213">
        <w:tc>
          <w:tcPr>
            <w:tcW w:w="2689" w:type="dxa"/>
            <w:tcBorders>
              <w:right w:val="nil"/>
            </w:tcBorders>
          </w:tcPr>
          <w:p w:rsidR="00B37F77" w:rsidRPr="00B37F77" w:rsidRDefault="00B37F77" w:rsidP="00213CD7">
            <w:pPr>
              <w:rPr>
                <w:b/>
                <w:sz w:val="12"/>
                <w:szCs w:val="12"/>
              </w:rPr>
            </w:pPr>
          </w:p>
        </w:tc>
        <w:tc>
          <w:tcPr>
            <w:tcW w:w="8073" w:type="dxa"/>
            <w:tcBorders>
              <w:left w:val="nil"/>
            </w:tcBorders>
          </w:tcPr>
          <w:p w:rsidR="00B37F77" w:rsidRPr="00B37F77" w:rsidRDefault="00B37F77" w:rsidP="00213CD7">
            <w:pPr>
              <w:rPr>
                <w:sz w:val="12"/>
                <w:szCs w:val="12"/>
              </w:rPr>
            </w:pPr>
          </w:p>
        </w:tc>
      </w:tr>
      <w:tr w:rsidR="008C2A3F" w:rsidTr="001162FE">
        <w:tc>
          <w:tcPr>
            <w:tcW w:w="2689" w:type="dxa"/>
          </w:tcPr>
          <w:p w:rsidR="008C2A3F" w:rsidRPr="0064385C" w:rsidRDefault="008C2A3F" w:rsidP="008C2A3F">
            <w:pPr>
              <w:rPr>
                <w:b/>
              </w:rPr>
            </w:pPr>
            <w:r w:rsidRPr="0064385C">
              <w:rPr>
                <w:b/>
              </w:rPr>
              <w:t>Additional information</w:t>
            </w:r>
          </w:p>
        </w:tc>
        <w:tc>
          <w:tcPr>
            <w:tcW w:w="8073" w:type="dxa"/>
          </w:tcPr>
          <w:p w:rsidR="00E06BB9" w:rsidRDefault="00E06BB9" w:rsidP="00E06BB9">
            <w:r>
              <w:t>Discuss need to contact sexual partners for treatment</w:t>
            </w:r>
          </w:p>
          <w:p w:rsidR="00E06BB9" w:rsidRPr="00E06BB9" w:rsidRDefault="00E06BB9" w:rsidP="00E06BB9">
            <w:pPr>
              <w:rPr>
                <w:sz w:val="12"/>
                <w:szCs w:val="12"/>
              </w:rPr>
            </w:pPr>
          </w:p>
          <w:p w:rsidR="008C2A3F" w:rsidRDefault="00E06BB9" w:rsidP="00E06BB9">
            <w:r>
              <w:t>Advise to abstain from sex until abdominal pain (if present) has settled, and to abstain from sex, or use condoms, until 7 days after all sexual contacts have been treated.</w:t>
            </w:r>
          </w:p>
        </w:tc>
      </w:tr>
      <w:tr w:rsidR="008C2A3F" w:rsidTr="001162FE">
        <w:tc>
          <w:tcPr>
            <w:tcW w:w="2689" w:type="dxa"/>
          </w:tcPr>
          <w:p w:rsidR="008C2A3F" w:rsidRPr="0064385C" w:rsidRDefault="008C2A3F" w:rsidP="008C2A3F">
            <w:pPr>
              <w:rPr>
                <w:b/>
              </w:rPr>
            </w:pPr>
            <w:r w:rsidRPr="0064385C">
              <w:rPr>
                <w:b/>
              </w:rPr>
              <w:t>Follow-up</w:t>
            </w:r>
          </w:p>
        </w:tc>
        <w:tc>
          <w:tcPr>
            <w:tcW w:w="8073" w:type="dxa"/>
          </w:tcPr>
          <w:p w:rsidR="00213CD7" w:rsidRDefault="00213CD7" w:rsidP="00213CD7">
            <w:r>
              <w:t xml:space="preserve">Follow up (at 3 months post-treatment) to: </w:t>
            </w:r>
          </w:p>
          <w:p w:rsidR="00213CD7" w:rsidRDefault="00213CD7" w:rsidP="00213CD7">
            <w:pPr>
              <w:pStyle w:val="ListParagraph"/>
              <w:numPr>
                <w:ilvl w:val="0"/>
                <w:numId w:val="2"/>
              </w:numPr>
            </w:pPr>
            <w:proofErr w:type="gramStart"/>
            <w:r>
              <w:t>conﬁrm</w:t>
            </w:r>
            <w:proofErr w:type="gramEnd"/>
            <w:r>
              <w:t xml:space="preserve"> compliance with treatment. </w:t>
            </w:r>
          </w:p>
          <w:p w:rsidR="00213CD7" w:rsidRDefault="00213CD7" w:rsidP="00213CD7">
            <w:pPr>
              <w:pStyle w:val="ListParagraph"/>
              <w:numPr>
                <w:ilvl w:val="0"/>
                <w:numId w:val="2"/>
              </w:numPr>
            </w:pPr>
            <w:proofErr w:type="gramStart"/>
            <w:r>
              <w:t>ensure</w:t>
            </w:r>
            <w:proofErr w:type="gramEnd"/>
            <w:r>
              <w:t xml:space="preserve"> resolution of symptoms. </w:t>
            </w:r>
          </w:p>
          <w:p w:rsidR="00213CD7" w:rsidRDefault="00213CD7" w:rsidP="00213CD7">
            <w:pPr>
              <w:pStyle w:val="ListParagraph"/>
              <w:numPr>
                <w:ilvl w:val="0"/>
                <w:numId w:val="2"/>
              </w:numPr>
            </w:pPr>
            <w:proofErr w:type="gramStart"/>
            <w:r>
              <w:t>enquire</w:t>
            </w:r>
            <w:proofErr w:type="gramEnd"/>
            <w:r>
              <w:t xml:space="preserve"> about adverse reactions. </w:t>
            </w:r>
          </w:p>
          <w:p w:rsidR="00213CD7" w:rsidRDefault="00213CD7" w:rsidP="00213CD7">
            <w:pPr>
              <w:pStyle w:val="ListParagraph"/>
              <w:numPr>
                <w:ilvl w:val="0"/>
                <w:numId w:val="2"/>
              </w:numPr>
            </w:pPr>
            <w:proofErr w:type="gramStart"/>
            <w:r>
              <w:t>take</w:t>
            </w:r>
            <w:proofErr w:type="gramEnd"/>
            <w:r>
              <w:t xml:space="preserve"> a sexual history to explore the possibility of reinfection. </w:t>
            </w:r>
          </w:p>
          <w:p w:rsidR="00213CD7" w:rsidRDefault="00213CD7" w:rsidP="00213CD7">
            <w:pPr>
              <w:pStyle w:val="ListParagraph"/>
              <w:numPr>
                <w:ilvl w:val="0"/>
                <w:numId w:val="2"/>
              </w:numPr>
            </w:pPr>
            <w:proofErr w:type="gramStart"/>
            <w:r>
              <w:t>pursue</w:t>
            </w:r>
            <w:proofErr w:type="gramEnd"/>
            <w:r>
              <w:t xml:space="preserve"> partner notiﬁcation and health promotion.</w:t>
            </w:r>
          </w:p>
          <w:p w:rsidR="00213CD7" w:rsidRPr="00E06BB9" w:rsidRDefault="00213CD7" w:rsidP="00213CD7">
            <w:pPr>
              <w:rPr>
                <w:sz w:val="12"/>
                <w:szCs w:val="12"/>
              </w:rPr>
            </w:pPr>
          </w:p>
          <w:p w:rsidR="00213CD7" w:rsidRDefault="00213CD7" w:rsidP="00213CD7">
            <w:r>
              <w:t xml:space="preserve">A test of cure (at 3 to 4 weeks with NAATs test) is recommended in the following cases: </w:t>
            </w:r>
          </w:p>
          <w:p w:rsidR="00213CD7" w:rsidRDefault="00213CD7" w:rsidP="00E06BB9">
            <w:pPr>
              <w:pStyle w:val="ListParagraph"/>
              <w:numPr>
                <w:ilvl w:val="0"/>
                <w:numId w:val="3"/>
              </w:numPr>
            </w:pPr>
            <w:proofErr w:type="gramStart"/>
            <w:r>
              <w:t>when</w:t>
            </w:r>
            <w:proofErr w:type="gramEnd"/>
            <w:r>
              <w:t xml:space="preserve"> ceftriaxone has not been used as the treatment (e.g., when ciprofloxacin is used). </w:t>
            </w:r>
          </w:p>
          <w:p w:rsidR="00213CD7" w:rsidRDefault="00213CD7" w:rsidP="00E06BB9">
            <w:pPr>
              <w:pStyle w:val="ListParagraph"/>
              <w:numPr>
                <w:ilvl w:val="0"/>
                <w:numId w:val="3"/>
              </w:numPr>
            </w:pPr>
            <w:proofErr w:type="gramStart"/>
            <w:r>
              <w:t>when</w:t>
            </w:r>
            <w:proofErr w:type="gramEnd"/>
            <w:r>
              <w:t xml:space="preserve"> symptoms have persisted. </w:t>
            </w:r>
          </w:p>
          <w:p w:rsidR="008C2A3F" w:rsidRDefault="00213CD7" w:rsidP="00E06BB9">
            <w:pPr>
              <w:pStyle w:val="ListParagraph"/>
              <w:numPr>
                <w:ilvl w:val="0"/>
                <w:numId w:val="3"/>
              </w:numPr>
            </w:pPr>
            <w:r>
              <w:t>in non-genital infection (rectal, pharyngeal</w:t>
            </w:r>
          </w:p>
        </w:tc>
      </w:tr>
      <w:tr w:rsidR="0070113B" w:rsidTr="001162FE">
        <w:tc>
          <w:tcPr>
            <w:tcW w:w="2689" w:type="dxa"/>
          </w:tcPr>
          <w:p w:rsidR="0070113B" w:rsidRPr="0064385C" w:rsidRDefault="0070113B" w:rsidP="0070113B">
            <w:pPr>
              <w:rPr>
                <w:b/>
              </w:rPr>
            </w:pPr>
            <w:r w:rsidRPr="0064385C">
              <w:rPr>
                <w:b/>
              </w:rPr>
              <w:t>Countersigning and auditing</w:t>
            </w:r>
          </w:p>
        </w:tc>
        <w:tc>
          <w:tcPr>
            <w:tcW w:w="8073" w:type="dxa"/>
          </w:tcPr>
          <w:p w:rsidR="0070113B" w:rsidRDefault="0070113B" w:rsidP="0070113B">
            <w:r>
              <w:t>Countersigning is not required. Audited monthly.</w:t>
            </w:r>
          </w:p>
          <w:p w:rsidR="0070113B" w:rsidRPr="0070113B" w:rsidRDefault="0070113B" w:rsidP="0070113B">
            <w:pPr>
              <w:rPr>
                <w:b/>
              </w:rPr>
            </w:pPr>
            <w:r w:rsidRPr="0070113B">
              <w:rPr>
                <w:b/>
              </w:rPr>
              <w:t xml:space="preserve">OR </w:t>
            </w:r>
          </w:p>
          <w:p w:rsidR="0070113B" w:rsidRDefault="0070113B" w:rsidP="0070113B">
            <w:r>
              <w:t xml:space="preserve">Countersigning is required within </w:t>
            </w:r>
            <w:r w:rsidRPr="00070579">
              <w:rPr>
                <w:b/>
                <w:i/>
              </w:rPr>
              <w:t>XX</w:t>
            </w:r>
            <w:r>
              <w:t xml:space="preserve"> days</w:t>
            </w:r>
          </w:p>
        </w:tc>
      </w:tr>
      <w:tr w:rsidR="0070113B" w:rsidTr="001162FE">
        <w:tc>
          <w:tcPr>
            <w:tcW w:w="2689" w:type="dxa"/>
          </w:tcPr>
          <w:p w:rsidR="0070113B" w:rsidRPr="0064385C" w:rsidRDefault="0070113B" w:rsidP="0070113B">
            <w:pPr>
              <w:rPr>
                <w:b/>
              </w:rPr>
            </w:pPr>
            <w:r w:rsidRPr="0064385C">
              <w:rPr>
                <w:b/>
              </w:rPr>
              <w:t>Competency/training requirements</w:t>
            </w:r>
          </w:p>
        </w:tc>
        <w:tc>
          <w:tcPr>
            <w:tcW w:w="8073" w:type="dxa"/>
          </w:tcPr>
          <w:p w:rsidR="0070113B" w:rsidRDefault="0070113B" w:rsidP="0070113B">
            <w:r>
              <w:t>All nurses working under this standing order must be signed off as competent to do so by the issuer and have had specific training in this standing order.</w:t>
            </w:r>
          </w:p>
        </w:tc>
      </w:tr>
      <w:tr w:rsidR="0070113B" w:rsidTr="001162FE">
        <w:tc>
          <w:tcPr>
            <w:tcW w:w="2689" w:type="dxa"/>
          </w:tcPr>
          <w:p w:rsidR="0070113B" w:rsidRPr="0064385C" w:rsidRDefault="0070113B" w:rsidP="0070113B">
            <w:pPr>
              <w:rPr>
                <w:b/>
              </w:rPr>
            </w:pPr>
            <w:r w:rsidRPr="0064385C">
              <w:rPr>
                <w:b/>
              </w:rPr>
              <w:t>Supporting documentation</w:t>
            </w:r>
          </w:p>
        </w:tc>
        <w:tc>
          <w:tcPr>
            <w:tcW w:w="8073" w:type="dxa"/>
          </w:tcPr>
          <w:p w:rsidR="00476AA6" w:rsidRDefault="00476AA6" w:rsidP="00476AA6">
            <w:proofErr w:type="spellStart"/>
            <w:r>
              <w:t>Healthpathways</w:t>
            </w:r>
            <w:proofErr w:type="spellEnd"/>
            <w:r>
              <w:t xml:space="preserve"> at </w:t>
            </w:r>
            <w:hyperlink r:id="rId9" w:history="1">
              <w:r w:rsidRPr="00254A91">
                <w:rPr>
                  <w:rStyle w:val="Hyperlink"/>
                </w:rPr>
                <w:t>www.healthpathways.org.nz</w:t>
              </w:r>
            </w:hyperlink>
            <w:r>
              <w:t xml:space="preserve"> </w:t>
            </w:r>
          </w:p>
          <w:p w:rsidR="00476AA6" w:rsidRDefault="00476AA6" w:rsidP="00476AA6">
            <w:r>
              <w:t xml:space="preserve">Best Practice Journal at </w:t>
            </w:r>
            <w:hyperlink r:id="rId10" w:history="1">
              <w:r w:rsidRPr="00254A91">
                <w:rPr>
                  <w:rStyle w:val="Hyperlink"/>
                </w:rPr>
                <w:t>www.bpac.org.nz</w:t>
              </w:r>
            </w:hyperlink>
            <w:r>
              <w:t xml:space="preserve"> </w:t>
            </w:r>
          </w:p>
          <w:p w:rsidR="00476AA6" w:rsidRDefault="00476AA6" w:rsidP="00476AA6">
            <w:r>
              <w:t xml:space="preserve">New Zealand Formulary at </w:t>
            </w:r>
            <w:hyperlink r:id="rId11" w:history="1">
              <w:r w:rsidRPr="00254A91">
                <w:rPr>
                  <w:rStyle w:val="Hyperlink"/>
                </w:rPr>
                <w:t>www.nzf.org.nz</w:t>
              </w:r>
            </w:hyperlink>
            <w:r>
              <w:t xml:space="preserve"> </w:t>
            </w:r>
          </w:p>
          <w:p w:rsidR="00476AA6" w:rsidRDefault="00476AA6" w:rsidP="00476AA6">
            <w:r>
              <w:t xml:space="preserve">Individual medicine data sheets at </w:t>
            </w:r>
            <w:hyperlink r:id="rId12" w:history="1">
              <w:r w:rsidRPr="00254A91">
                <w:rPr>
                  <w:rStyle w:val="Hyperlink"/>
                </w:rPr>
                <w:t>www.medsafe.govt.nz</w:t>
              </w:r>
            </w:hyperlink>
            <w:r>
              <w:t xml:space="preserve"> </w:t>
            </w:r>
          </w:p>
          <w:p w:rsidR="009C2DAC" w:rsidRDefault="009C2DAC" w:rsidP="00476AA6">
            <w:r w:rsidRPr="009C2DAC">
              <w:t xml:space="preserve">The New Zealand Sexual Health Society Incorporated </w:t>
            </w:r>
            <w:hyperlink r:id="rId13" w:history="1">
              <w:r w:rsidRPr="009E245E">
                <w:rPr>
                  <w:rStyle w:val="Hyperlink"/>
                </w:rPr>
                <w:t>www.nzshs.org</w:t>
              </w:r>
            </w:hyperlink>
            <w:r>
              <w:t xml:space="preserve"> </w:t>
            </w:r>
          </w:p>
          <w:p w:rsidR="005216BC" w:rsidRDefault="00476AA6" w:rsidP="0070113B">
            <w:r>
              <w:t>Standing Order Guidelines, Ministry of Health, 2012</w:t>
            </w:r>
          </w:p>
          <w:p w:rsidR="00361857" w:rsidRDefault="00361857" w:rsidP="0070113B">
            <w:r>
              <w:t>Medicines (Standing Order) Regulations 2012 (Standing Order Regulations)</w:t>
            </w:r>
          </w:p>
        </w:tc>
      </w:tr>
      <w:tr w:rsidR="0070113B" w:rsidTr="001162FE">
        <w:tc>
          <w:tcPr>
            <w:tcW w:w="2689" w:type="dxa"/>
          </w:tcPr>
          <w:p w:rsidR="0070113B" w:rsidRPr="0064385C" w:rsidRDefault="0070113B" w:rsidP="0070113B">
            <w:pPr>
              <w:rPr>
                <w:b/>
              </w:rPr>
            </w:pPr>
            <w:r w:rsidRPr="0064385C">
              <w:rPr>
                <w:b/>
              </w:rPr>
              <w:t>Definition of terms used in standing order</w:t>
            </w:r>
          </w:p>
        </w:tc>
        <w:tc>
          <w:tcPr>
            <w:tcW w:w="8073" w:type="dxa"/>
          </w:tcPr>
          <w:p w:rsidR="0070113B" w:rsidRDefault="00FA03ED" w:rsidP="0070113B">
            <w:r w:rsidRPr="00FA03ED">
              <w:rPr>
                <w:u w:val="single"/>
              </w:rPr>
              <w:t>Category B1</w:t>
            </w:r>
            <w:r w:rsidRPr="00FA03ED">
              <w:t xml:space="preserve"> - Drugs which have been taken by only a limited number of pregnant women and women of childbearing age, without an increase in the frequency of malformation or other direct or indirect harmful effects on the human foetus having been observed. Studies in animals have not shown evidence of an increased occurrence of foetal damage.</w:t>
            </w:r>
          </w:p>
        </w:tc>
      </w:tr>
    </w:tbl>
    <w:p w:rsidR="001162FE" w:rsidRDefault="001162FE"/>
    <w:p w:rsidR="008C2A3F" w:rsidRDefault="008C2A3F"/>
    <w:p w:rsidR="0042646E" w:rsidRDefault="0042646E"/>
    <w:p w:rsidR="0042646E" w:rsidRDefault="0042646E"/>
    <w:tbl>
      <w:tblPr>
        <w:tblStyle w:val="TableGrid"/>
        <w:tblW w:w="0" w:type="auto"/>
        <w:tblLook w:val="04A0" w:firstRow="1" w:lastRow="0" w:firstColumn="1" w:lastColumn="0" w:noHBand="0" w:noVBand="1"/>
      </w:tblPr>
      <w:tblGrid>
        <w:gridCol w:w="2689"/>
        <w:gridCol w:w="8073"/>
      </w:tblGrid>
      <w:tr w:rsidR="008C2A3F" w:rsidTr="00213CD7">
        <w:tc>
          <w:tcPr>
            <w:tcW w:w="2689" w:type="dxa"/>
          </w:tcPr>
          <w:p w:rsidR="008C2A3F" w:rsidRPr="0064385C" w:rsidRDefault="008C2A3F" w:rsidP="00213CD7">
            <w:pPr>
              <w:rPr>
                <w:b/>
              </w:rPr>
            </w:pPr>
            <w:r w:rsidRPr="0064385C">
              <w:rPr>
                <w:b/>
              </w:rPr>
              <w:t>Medical Centre or Clinic</w:t>
            </w:r>
            <w:r w:rsidR="0064385C" w:rsidRPr="0064385C">
              <w:rPr>
                <w:b/>
              </w:rPr>
              <w:t>:</w:t>
            </w:r>
          </w:p>
        </w:tc>
        <w:tc>
          <w:tcPr>
            <w:tcW w:w="8073" w:type="dxa"/>
          </w:tcPr>
          <w:p w:rsidR="008C2A3F" w:rsidRDefault="008C2A3F" w:rsidP="00213CD7"/>
        </w:tc>
      </w:tr>
    </w:tbl>
    <w:p w:rsidR="001162FE" w:rsidRDefault="001162FE"/>
    <w:tbl>
      <w:tblPr>
        <w:tblStyle w:val="TableGrid"/>
        <w:tblW w:w="0" w:type="auto"/>
        <w:tblLook w:val="04A0" w:firstRow="1" w:lastRow="0" w:firstColumn="1" w:lastColumn="0" w:noHBand="0" w:noVBand="1"/>
      </w:tblPr>
      <w:tblGrid>
        <w:gridCol w:w="2122"/>
      </w:tblGrid>
      <w:tr w:rsidR="001162FE" w:rsidTr="00877CF2">
        <w:tc>
          <w:tcPr>
            <w:tcW w:w="2122" w:type="dxa"/>
          </w:tcPr>
          <w:p w:rsidR="001162FE" w:rsidRPr="0064385C" w:rsidRDefault="00877CF2">
            <w:pPr>
              <w:rPr>
                <w:b/>
              </w:rPr>
            </w:pPr>
            <w:r w:rsidRPr="0064385C">
              <w:rPr>
                <w:b/>
              </w:rPr>
              <w:t>Signed by issuers</w:t>
            </w:r>
          </w:p>
        </w:tc>
      </w:tr>
    </w:tbl>
    <w:p w:rsidR="001162FE" w:rsidRDefault="001162FE"/>
    <w:p w:rsidR="001162FE" w:rsidRDefault="001162FE">
      <w:r>
        <w:t>Name:</w:t>
      </w:r>
      <w:r>
        <w:tab/>
        <w:t>____________________________</w:t>
      </w:r>
      <w:r>
        <w:tab/>
      </w:r>
      <w:r>
        <w:tab/>
        <w:t>Signature: __________________________</w:t>
      </w:r>
    </w:p>
    <w:p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rsidTr="0064385C">
        <w:trPr>
          <w:trHeight w:val="123"/>
        </w:trPr>
        <w:tc>
          <w:tcPr>
            <w:tcW w:w="4531" w:type="dxa"/>
          </w:tcPr>
          <w:p w:rsidR="001162FE" w:rsidRPr="0064385C" w:rsidRDefault="001162FE">
            <w:pPr>
              <w:rPr>
                <w:b/>
              </w:rPr>
            </w:pPr>
            <w:r w:rsidRPr="0064385C">
              <w:rPr>
                <w:b/>
              </w:rPr>
              <w:t>Nurses operating under this standing order</w:t>
            </w:r>
          </w:p>
        </w:tc>
      </w:tr>
    </w:tbl>
    <w:p w:rsidR="001162FE" w:rsidRDefault="001162FE"/>
    <w:p w:rsidR="0064385C" w:rsidRDefault="0064385C" w:rsidP="0064385C">
      <w:r>
        <w:t xml:space="preserve">Only Registered nurses working within the above medical centre or clinic are authorised to administer medication under this standing order. </w:t>
      </w:r>
    </w:p>
    <w:p w:rsidR="001162FE" w:rsidRDefault="001162FE">
      <w:r>
        <w:t>We the undersigned agree that we have read, understood and will comply with this standing order and all associated documents.</w:t>
      </w:r>
    </w:p>
    <w:p w:rsidR="001162FE" w:rsidRDefault="001162FE"/>
    <w:p w:rsidR="001162FE" w:rsidRDefault="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rsidP="001162FE">
      <w:r>
        <w:t>Name: ______________________   Signature: _________________________</w:t>
      </w:r>
      <w:proofErr w:type="gramStart"/>
      <w:r>
        <w:t>_  Date</w:t>
      </w:r>
      <w:proofErr w:type="gramEnd"/>
      <w:r>
        <w:t>: ______________</w:t>
      </w:r>
    </w:p>
    <w:p w:rsidR="001162FE" w:rsidRDefault="001162FE"/>
    <w:sectPr w:rsidR="001162FE" w:rsidSect="00D270A8">
      <w:footerReference w:type="default" r:id="rId14"/>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BFE" w:rsidRDefault="00E63BFE" w:rsidP="001831C3">
      <w:pPr>
        <w:spacing w:after="0" w:line="240" w:lineRule="auto"/>
      </w:pPr>
      <w:r>
        <w:separator/>
      </w:r>
    </w:p>
  </w:endnote>
  <w:endnote w:type="continuationSeparator" w:id="0">
    <w:p w:rsidR="00E63BFE" w:rsidRDefault="00E63BFE" w:rsidP="0018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FE" w:rsidRDefault="00E63BFE">
    <w:pPr>
      <w:pStyle w:val="Footer"/>
    </w:pPr>
    <w:r>
      <w:t xml:space="preserve">Gonorrhoea Standing Order  </w:t>
    </w:r>
    <w:r>
      <w:tab/>
      <w:t>October 2015</w:t>
    </w:r>
    <w:r>
      <w:tab/>
      <w:t>WellSouth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BFE" w:rsidRDefault="00E63BFE" w:rsidP="001831C3">
      <w:pPr>
        <w:spacing w:after="0" w:line="240" w:lineRule="auto"/>
      </w:pPr>
      <w:r>
        <w:separator/>
      </w:r>
    </w:p>
  </w:footnote>
  <w:footnote w:type="continuationSeparator" w:id="0">
    <w:p w:rsidR="00E63BFE" w:rsidRDefault="00E63BFE" w:rsidP="00183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762DE"/>
    <w:multiLevelType w:val="hybridMultilevel"/>
    <w:tmpl w:val="59EE7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F0262D4"/>
    <w:multiLevelType w:val="hybridMultilevel"/>
    <w:tmpl w:val="4BB24D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5C253094"/>
    <w:multiLevelType w:val="hybridMultilevel"/>
    <w:tmpl w:val="C92E6E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629E0E48"/>
    <w:multiLevelType w:val="hybridMultilevel"/>
    <w:tmpl w:val="3CF614CA"/>
    <w:lvl w:ilvl="0" w:tplc="ED440776">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778E5AA6"/>
    <w:multiLevelType w:val="hybridMultilevel"/>
    <w:tmpl w:val="DA9C4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E47A6"/>
    <w:rsid w:val="001162FE"/>
    <w:rsid w:val="00123A68"/>
    <w:rsid w:val="001831C3"/>
    <w:rsid w:val="00213CD7"/>
    <w:rsid w:val="002A4F5D"/>
    <w:rsid w:val="002B2924"/>
    <w:rsid w:val="00353AE8"/>
    <w:rsid w:val="00361857"/>
    <w:rsid w:val="00366511"/>
    <w:rsid w:val="0042646E"/>
    <w:rsid w:val="00476AA6"/>
    <w:rsid w:val="005216BC"/>
    <w:rsid w:val="0064385C"/>
    <w:rsid w:val="006975A9"/>
    <w:rsid w:val="0070113B"/>
    <w:rsid w:val="008405AF"/>
    <w:rsid w:val="00853012"/>
    <w:rsid w:val="00877CF2"/>
    <w:rsid w:val="008B0D19"/>
    <w:rsid w:val="008C2A3F"/>
    <w:rsid w:val="008F44B3"/>
    <w:rsid w:val="009C2DAC"/>
    <w:rsid w:val="009C6213"/>
    <w:rsid w:val="00A22047"/>
    <w:rsid w:val="00B37F77"/>
    <w:rsid w:val="00B60973"/>
    <w:rsid w:val="00D270A8"/>
    <w:rsid w:val="00E06BB9"/>
    <w:rsid w:val="00E63BFE"/>
    <w:rsid w:val="00FA03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ListParagraph">
    <w:name w:val="List Paragraph"/>
    <w:basedOn w:val="Normal"/>
    <w:uiPriority w:val="34"/>
    <w:qFormat/>
    <w:rsid w:val="00B37F77"/>
    <w:pPr>
      <w:ind w:left="720"/>
      <w:contextualSpacing/>
    </w:pPr>
  </w:style>
  <w:style w:type="paragraph" w:styleId="Header">
    <w:name w:val="header"/>
    <w:basedOn w:val="Normal"/>
    <w:link w:val="HeaderChar"/>
    <w:uiPriority w:val="99"/>
    <w:unhideWhenUsed/>
    <w:rsid w:val="00183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1C3"/>
  </w:style>
  <w:style w:type="paragraph" w:styleId="Footer">
    <w:name w:val="footer"/>
    <w:basedOn w:val="Normal"/>
    <w:link w:val="FooterChar"/>
    <w:uiPriority w:val="99"/>
    <w:unhideWhenUsed/>
    <w:rsid w:val="00183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shs.org/docman/guidelines/principles-of-sexual-health-care/148-sexual-health-check-summary/file" TargetMode="External"/><Relationship Id="rId13" Type="http://schemas.openxmlformats.org/officeDocument/2006/relationships/hyperlink" Target="http://www.nzsh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dsafe.govt.n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zf.org.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pac.org.nz" TargetMode="External"/><Relationship Id="rId4" Type="http://schemas.openxmlformats.org/officeDocument/2006/relationships/webSettings" Target="webSettings.xml"/><Relationship Id="rId9" Type="http://schemas.openxmlformats.org/officeDocument/2006/relationships/hyperlink" Target="http://www.healthpathways.org.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A5FC9DBA</Template>
  <TotalTime>49</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Lisa Johnston</cp:lastModifiedBy>
  <cp:revision>17</cp:revision>
  <dcterms:created xsi:type="dcterms:W3CDTF">2015-08-20T07:06:00Z</dcterms:created>
  <dcterms:modified xsi:type="dcterms:W3CDTF">2015-12-10T21:46:00Z</dcterms:modified>
</cp:coreProperties>
</file>