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33B91" w14:textId="77777777" w:rsidR="00853012" w:rsidRPr="001162FE" w:rsidRDefault="00123A68" w:rsidP="001162FE">
      <w:pPr>
        <w:jc w:val="center"/>
        <w:rPr>
          <w:b/>
          <w:sz w:val="28"/>
          <w:szCs w:val="28"/>
        </w:rPr>
      </w:pPr>
      <w:r w:rsidRPr="00123A68">
        <w:rPr>
          <w:noProof/>
          <w:lang w:eastAsia="en-NZ"/>
        </w:rPr>
        <w:drawing>
          <wp:inline distT="0" distB="0" distL="0" distR="0" wp14:anchorId="6594BA95" wp14:editId="15C6D626">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1A55AE">
        <w:rPr>
          <w:b/>
          <w:sz w:val="28"/>
          <w:szCs w:val="28"/>
        </w:rPr>
        <w:t>Hay</w:t>
      </w:r>
      <w:r w:rsidR="00FD76A9">
        <w:rPr>
          <w:b/>
          <w:sz w:val="28"/>
          <w:szCs w:val="28"/>
        </w:rPr>
        <w:t xml:space="preserve"> </w:t>
      </w:r>
      <w:r w:rsidR="001A55AE">
        <w:rPr>
          <w:b/>
          <w:sz w:val="28"/>
          <w:szCs w:val="28"/>
        </w:rPr>
        <w:t xml:space="preserve">fever </w:t>
      </w:r>
      <w:r w:rsidR="001162FE" w:rsidRPr="001162FE">
        <w:rPr>
          <w:b/>
          <w:sz w:val="28"/>
          <w:szCs w:val="28"/>
        </w:rPr>
        <w:t>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2F14118C" w14:textId="77777777" w:rsidTr="00877CF2">
        <w:trPr>
          <w:jc w:val="center"/>
        </w:trPr>
        <w:tc>
          <w:tcPr>
            <w:tcW w:w="1555" w:type="dxa"/>
          </w:tcPr>
          <w:p w14:paraId="49012A7A" w14:textId="77777777" w:rsidR="001162FE" w:rsidRDefault="001162FE">
            <w:r>
              <w:t>Issue date:</w:t>
            </w:r>
          </w:p>
        </w:tc>
        <w:tc>
          <w:tcPr>
            <w:tcW w:w="1984" w:type="dxa"/>
          </w:tcPr>
          <w:p w14:paraId="4CC76D73" w14:textId="77777777" w:rsidR="001162FE" w:rsidRDefault="001162FE"/>
        </w:tc>
        <w:tc>
          <w:tcPr>
            <w:tcW w:w="1843" w:type="dxa"/>
          </w:tcPr>
          <w:p w14:paraId="19BEBA88" w14:textId="77777777" w:rsidR="001162FE" w:rsidRDefault="001162FE">
            <w:r>
              <w:t>Review date:</w:t>
            </w:r>
          </w:p>
        </w:tc>
        <w:tc>
          <w:tcPr>
            <w:tcW w:w="2268" w:type="dxa"/>
          </w:tcPr>
          <w:p w14:paraId="4506C082" w14:textId="77777777" w:rsidR="001162FE" w:rsidRDefault="001162FE"/>
        </w:tc>
      </w:tr>
    </w:tbl>
    <w:p w14:paraId="2FF1E4ED" w14:textId="77777777" w:rsidR="001162FE" w:rsidRDefault="001162FE"/>
    <w:p w14:paraId="6DE8335C"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14:paraId="0A368904" w14:textId="77777777" w:rsidTr="001162FE">
        <w:tc>
          <w:tcPr>
            <w:tcW w:w="2689" w:type="dxa"/>
          </w:tcPr>
          <w:p w14:paraId="00073368" w14:textId="77777777" w:rsidR="001162FE" w:rsidRPr="0064385C" w:rsidRDefault="00877CF2">
            <w:pPr>
              <w:rPr>
                <w:b/>
              </w:rPr>
            </w:pPr>
            <w:r w:rsidRPr="0064385C">
              <w:rPr>
                <w:b/>
              </w:rPr>
              <w:t>Standing Order Name</w:t>
            </w:r>
          </w:p>
        </w:tc>
        <w:tc>
          <w:tcPr>
            <w:tcW w:w="8073" w:type="dxa"/>
          </w:tcPr>
          <w:p w14:paraId="2F4BCE4F" w14:textId="77777777" w:rsidR="001162FE" w:rsidRDefault="001A55AE">
            <w:r>
              <w:t>Hay</w:t>
            </w:r>
            <w:r w:rsidR="00FD76A9">
              <w:t xml:space="preserve"> </w:t>
            </w:r>
            <w:r>
              <w:t>fever</w:t>
            </w:r>
          </w:p>
        </w:tc>
      </w:tr>
      <w:tr w:rsidR="001162FE" w14:paraId="50FD4B16" w14:textId="77777777" w:rsidTr="001162FE">
        <w:tc>
          <w:tcPr>
            <w:tcW w:w="2689" w:type="dxa"/>
          </w:tcPr>
          <w:p w14:paraId="6933172C" w14:textId="77777777" w:rsidR="001162FE" w:rsidRPr="0064385C" w:rsidRDefault="00877CF2">
            <w:pPr>
              <w:rPr>
                <w:b/>
              </w:rPr>
            </w:pPr>
            <w:r w:rsidRPr="0064385C">
              <w:rPr>
                <w:b/>
              </w:rPr>
              <w:t>Rationale</w:t>
            </w:r>
          </w:p>
        </w:tc>
        <w:tc>
          <w:tcPr>
            <w:tcW w:w="8073" w:type="dxa"/>
          </w:tcPr>
          <w:p w14:paraId="680CE014" w14:textId="77777777" w:rsidR="001162FE" w:rsidRDefault="001A55AE" w:rsidP="001A55AE">
            <w:r>
              <w:t>To promptly and appropriately treat patients presenting with hay</w:t>
            </w:r>
            <w:r w:rsidR="00FD76A9">
              <w:t xml:space="preserve"> </w:t>
            </w:r>
            <w:r>
              <w:t>fever</w:t>
            </w:r>
          </w:p>
        </w:tc>
      </w:tr>
      <w:tr w:rsidR="001162FE" w14:paraId="2C88A1CB" w14:textId="77777777" w:rsidTr="001162FE">
        <w:tc>
          <w:tcPr>
            <w:tcW w:w="2689" w:type="dxa"/>
          </w:tcPr>
          <w:p w14:paraId="20367372" w14:textId="77777777" w:rsidR="00877CF2" w:rsidRPr="0064385C" w:rsidRDefault="008C2A3F">
            <w:pPr>
              <w:rPr>
                <w:b/>
              </w:rPr>
            </w:pPr>
            <w:r w:rsidRPr="0064385C">
              <w:rPr>
                <w:b/>
              </w:rPr>
              <w:t>Scope (condition and patient group)</w:t>
            </w:r>
          </w:p>
        </w:tc>
        <w:tc>
          <w:tcPr>
            <w:tcW w:w="8073" w:type="dxa"/>
          </w:tcPr>
          <w:p w14:paraId="63F797D5" w14:textId="77777777" w:rsidR="001162FE" w:rsidRDefault="001A55AE">
            <w:r>
              <w:t>Adults and children who are assessed as suffering from hay</w:t>
            </w:r>
            <w:r w:rsidR="00FD76A9">
              <w:t xml:space="preserve"> </w:t>
            </w:r>
            <w:r>
              <w:t>fever.</w:t>
            </w:r>
          </w:p>
        </w:tc>
      </w:tr>
      <w:tr w:rsidR="000E47A6" w14:paraId="7D23F0F4" w14:textId="77777777" w:rsidTr="001162FE">
        <w:tc>
          <w:tcPr>
            <w:tcW w:w="2689" w:type="dxa"/>
          </w:tcPr>
          <w:p w14:paraId="10B3B34E" w14:textId="77777777" w:rsidR="000E47A6" w:rsidRPr="0064385C" w:rsidRDefault="000E47A6">
            <w:pPr>
              <w:rPr>
                <w:b/>
              </w:rPr>
            </w:pPr>
            <w:r>
              <w:rPr>
                <w:b/>
              </w:rPr>
              <w:t>Red Flags</w:t>
            </w:r>
          </w:p>
        </w:tc>
        <w:tc>
          <w:tcPr>
            <w:tcW w:w="8073" w:type="dxa"/>
          </w:tcPr>
          <w:p w14:paraId="58F2608C" w14:textId="77777777" w:rsidR="000E47A6" w:rsidRDefault="00DC4876">
            <w:r>
              <w:t>Unilateral symptoms</w:t>
            </w:r>
          </w:p>
          <w:p w14:paraId="656EB0F3" w14:textId="77777777" w:rsidR="00DC4876" w:rsidRDefault="00DC4876">
            <w:r>
              <w:t>Nasal obstruction without other symptoms</w:t>
            </w:r>
          </w:p>
          <w:p w14:paraId="62874F2A" w14:textId="77777777" w:rsidR="00DC4876" w:rsidRDefault="00DC4876">
            <w:r>
              <w:t>Recurrent epistaxis</w:t>
            </w:r>
          </w:p>
          <w:p w14:paraId="7BF4E5E1" w14:textId="77777777" w:rsidR="00DC4876" w:rsidRDefault="00DC4876">
            <w:r>
              <w:t xml:space="preserve">Mucopurulent or posterior rhinorrhoea with thick mucous </w:t>
            </w:r>
          </w:p>
        </w:tc>
      </w:tr>
      <w:tr w:rsidR="001162FE" w14:paraId="69088096" w14:textId="77777777" w:rsidTr="001162FE">
        <w:tc>
          <w:tcPr>
            <w:tcW w:w="2689" w:type="dxa"/>
          </w:tcPr>
          <w:p w14:paraId="66DFC988" w14:textId="77777777" w:rsidR="001162FE" w:rsidRPr="0064385C" w:rsidRDefault="008C2A3F">
            <w:pPr>
              <w:rPr>
                <w:b/>
              </w:rPr>
            </w:pPr>
            <w:r w:rsidRPr="0064385C">
              <w:rPr>
                <w:b/>
              </w:rPr>
              <w:t>Assessment</w:t>
            </w:r>
          </w:p>
        </w:tc>
        <w:tc>
          <w:tcPr>
            <w:tcW w:w="8073" w:type="dxa"/>
          </w:tcPr>
          <w:p w14:paraId="32436137" w14:textId="77777777" w:rsidR="00DC4876" w:rsidRDefault="00DC4876" w:rsidP="00DC4876">
            <w:r>
              <w:t>1. Symptoms include:</w:t>
            </w:r>
          </w:p>
          <w:p w14:paraId="5DF549A7" w14:textId="77777777" w:rsidR="00DC4876" w:rsidRDefault="00DC4876" w:rsidP="00DC4876">
            <w:pPr>
              <w:pStyle w:val="ListParagraph"/>
              <w:numPr>
                <w:ilvl w:val="0"/>
                <w:numId w:val="2"/>
              </w:numPr>
            </w:pPr>
            <w:r>
              <w:t>Sneezing</w:t>
            </w:r>
          </w:p>
          <w:p w14:paraId="2617813B" w14:textId="77777777" w:rsidR="00DC4876" w:rsidRDefault="00DC4876" w:rsidP="00DC4876">
            <w:pPr>
              <w:pStyle w:val="ListParagraph"/>
              <w:numPr>
                <w:ilvl w:val="0"/>
                <w:numId w:val="2"/>
              </w:numPr>
            </w:pPr>
            <w:r>
              <w:t>Congestion</w:t>
            </w:r>
          </w:p>
          <w:p w14:paraId="6EC58E0C" w14:textId="77777777" w:rsidR="00DC4876" w:rsidRDefault="00DC4876" w:rsidP="00DC4876">
            <w:pPr>
              <w:pStyle w:val="ListParagraph"/>
              <w:numPr>
                <w:ilvl w:val="0"/>
                <w:numId w:val="2"/>
              </w:numPr>
            </w:pPr>
            <w:r>
              <w:t>Watery anterior rhinorrhoea</w:t>
            </w:r>
          </w:p>
          <w:p w14:paraId="2BE7457E" w14:textId="77777777" w:rsidR="00DC4876" w:rsidRDefault="00DC4876" w:rsidP="00DC4876">
            <w:pPr>
              <w:pStyle w:val="ListParagraph"/>
              <w:numPr>
                <w:ilvl w:val="0"/>
                <w:numId w:val="2"/>
              </w:numPr>
            </w:pPr>
            <w:r>
              <w:t>Itchy nose, eyes and throat</w:t>
            </w:r>
          </w:p>
          <w:p w14:paraId="6261B23C" w14:textId="77777777" w:rsidR="00DC4876" w:rsidRDefault="00DC4876" w:rsidP="00DC4876">
            <w:pPr>
              <w:pStyle w:val="ListParagraph"/>
              <w:numPr>
                <w:ilvl w:val="0"/>
                <w:numId w:val="2"/>
              </w:numPr>
            </w:pPr>
            <w:r>
              <w:t>Sinus pressure</w:t>
            </w:r>
          </w:p>
          <w:p w14:paraId="58FFA23A" w14:textId="77777777" w:rsidR="00DC4876" w:rsidRDefault="00DC4876" w:rsidP="00DC4876">
            <w:pPr>
              <w:pStyle w:val="ListParagraph"/>
              <w:numPr>
                <w:ilvl w:val="0"/>
                <w:numId w:val="2"/>
              </w:numPr>
            </w:pPr>
            <w:r>
              <w:t>Facial pain</w:t>
            </w:r>
          </w:p>
          <w:p w14:paraId="61FF83A1" w14:textId="77777777" w:rsidR="00DC4876" w:rsidRDefault="00DC4876" w:rsidP="00DC4876">
            <w:pPr>
              <w:pStyle w:val="ListParagraph"/>
              <w:numPr>
                <w:ilvl w:val="0"/>
                <w:numId w:val="2"/>
              </w:numPr>
            </w:pPr>
            <w:r>
              <w:t>Decreased sense of smell</w:t>
            </w:r>
          </w:p>
          <w:p w14:paraId="22699B4B" w14:textId="77777777" w:rsidR="00DC4876" w:rsidRPr="00DC4876" w:rsidRDefault="00DC4876" w:rsidP="00DC4876">
            <w:pPr>
              <w:pStyle w:val="ListParagraph"/>
              <w:rPr>
                <w:sz w:val="12"/>
                <w:szCs w:val="12"/>
              </w:rPr>
            </w:pPr>
          </w:p>
          <w:p w14:paraId="487763FD" w14:textId="77777777" w:rsidR="00DC4876" w:rsidRDefault="00DC4876" w:rsidP="00DC4876">
            <w:r>
              <w:t>2. Ask about:</w:t>
            </w:r>
          </w:p>
          <w:p w14:paraId="2743AF49" w14:textId="77777777" w:rsidR="00DC4876" w:rsidRDefault="00DC4876" w:rsidP="00DC4876">
            <w:pPr>
              <w:pStyle w:val="ListParagraph"/>
              <w:numPr>
                <w:ilvl w:val="0"/>
                <w:numId w:val="1"/>
              </w:numPr>
            </w:pPr>
            <w:r>
              <w:t>Pattern, chronicity and seasonality of symptoms</w:t>
            </w:r>
          </w:p>
          <w:p w14:paraId="6AA85D35" w14:textId="77777777" w:rsidR="00DC4876" w:rsidRDefault="00DC4876" w:rsidP="00DC4876">
            <w:pPr>
              <w:pStyle w:val="ListParagraph"/>
              <w:numPr>
                <w:ilvl w:val="0"/>
                <w:numId w:val="1"/>
              </w:numPr>
            </w:pPr>
            <w:r>
              <w:t>Response to medications</w:t>
            </w:r>
          </w:p>
          <w:p w14:paraId="580CA45A" w14:textId="77777777" w:rsidR="00DC4876" w:rsidRDefault="00DC4876" w:rsidP="00DC4876">
            <w:pPr>
              <w:pStyle w:val="ListParagraph"/>
              <w:numPr>
                <w:ilvl w:val="0"/>
                <w:numId w:val="1"/>
              </w:numPr>
            </w:pPr>
            <w:r>
              <w:t>Occupational exposure</w:t>
            </w:r>
          </w:p>
          <w:p w14:paraId="7809F253" w14:textId="77777777" w:rsidR="00DC4876" w:rsidRDefault="00DC4876" w:rsidP="00DC4876">
            <w:pPr>
              <w:pStyle w:val="ListParagraph"/>
              <w:numPr>
                <w:ilvl w:val="0"/>
                <w:numId w:val="1"/>
              </w:numPr>
            </w:pPr>
            <w:r>
              <w:t>Environmental history</w:t>
            </w:r>
          </w:p>
          <w:p w14:paraId="30A24DFE" w14:textId="77777777" w:rsidR="00DC4876" w:rsidRDefault="00DC4876" w:rsidP="00DC4876">
            <w:pPr>
              <w:pStyle w:val="ListParagraph"/>
              <w:numPr>
                <w:ilvl w:val="0"/>
                <w:numId w:val="1"/>
              </w:numPr>
            </w:pPr>
            <w:r>
              <w:t>Identification of precipitating factors</w:t>
            </w:r>
          </w:p>
          <w:p w14:paraId="5D96DC38" w14:textId="77777777" w:rsidR="00DC4876" w:rsidRDefault="00DC4876" w:rsidP="00DC4876">
            <w:pPr>
              <w:pStyle w:val="ListParagraph"/>
              <w:numPr>
                <w:ilvl w:val="0"/>
                <w:numId w:val="1"/>
              </w:numPr>
            </w:pPr>
            <w:r>
              <w:t xml:space="preserve">Effect on quality of life </w:t>
            </w:r>
          </w:p>
          <w:p w14:paraId="7F8B2D1A" w14:textId="77777777" w:rsidR="00DC4876" w:rsidRPr="00DC4876" w:rsidRDefault="00DC4876" w:rsidP="00DC4876">
            <w:pPr>
              <w:rPr>
                <w:sz w:val="12"/>
                <w:szCs w:val="12"/>
              </w:rPr>
            </w:pPr>
          </w:p>
          <w:p w14:paraId="194E39B4" w14:textId="77777777" w:rsidR="001162FE" w:rsidRDefault="00DC4876" w:rsidP="00DC4876">
            <w:r>
              <w:t>3. Assess for co-existing asthma and ensure patient has necessary inhalers and asthma action plan at hand.</w:t>
            </w:r>
          </w:p>
        </w:tc>
      </w:tr>
      <w:tr w:rsidR="001162FE" w14:paraId="49FF0812" w14:textId="77777777" w:rsidTr="001162FE">
        <w:tc>
          <w:tcPr>
            <w:tcW w:w="2689" w:type="dxa"/>
          </w:tcPr>
          <w:p w14:paraId="0639DE4D" w14:textId="77777777" w:rsidR="001162FE" w:rsidRPr="0064385C" w:rsidRDefault="0064385C">
            <w:pPr>
              <w:rPr>
                <w:b/>
              </w:rPr>
            </w:pPr>
            <w:r>
              <w:rPr>
                <w:b/>
              </w:rPr>
              <w:t>Indication</w:t>
            </w:r>
          </w:p>
        </w:tc>
        <w:tc>
          <w:tcPr>
            <w:tcW w:w="8073" w:type="dxa"/>
          </w:tcPr>
          <w:p w14:paraId="7511E159" w14:textId="0CA3814A" w:rsidR="001162FE" w:rsidRPr="00FE0776" w:rsidRDefault="00FE0776" w:rsidP="00DF4080">
            <w:pPr>
              <w:rPr>
                <w:b/>
              </w:rPr>
            </w:pPr>
            <w:r>
              <w:rPr>
                <w:b/>
              </w:rPr>
              <w:t xml:space="preserve">Predominant nasal </w:t>
            </w:r>
            <w:r w:rsidR="00DF4080" w:rsidRPr="00FE0776">
              <w:rPr>
                <w:b/>
              </w:rPr>
              <w:t>congestion associated with</w:t>
            </w:r>
            <w:r>
              <w:rPr>
                <w:b/>
              </w:rPr>
              <w:t xml:space="preserve"> mild</w:t>
            </w:r>
            <w:r w:rsidR="00DF4080" w:rsidRPr="00FE0776">
              <w:rPr>
                <w:b/>
              </w:rPr>
              <w:t xml:space="preserve"> hay</w:t>
            </w:r>
            <w:r w:rsidR="00FD76A9" w:rsidRPr="00FE0776">
              <w:rPr>
                <w:b/>
              </w:rPr>
              <w:t xml:space="preserve"> </w:t>
            </w:r>
            <w:r w:rsidR="00DF4080" w:rsidRPr="00FE0776">
              <w:rPr>
                <w:b/>
              </w:rPr>
              <w:t>fever</w:t>
            </w:r>
            <w:r>
              <w:rPr>
                <w:b/>
              </w:rPr>
              <w:t xml:space="preserve"> symptoms</w:t>
            </w:r>
          </w:p>
        </w:tc>
      </w:tr>
      <w:tr w:rsidR="001162FE" w14:paraId="79478A08" w14:textId="77777777" w:rsidTr="001162FE">
        <w:tc>
          <w:tcPr>
            <w:tcW w:w="2689" w:type="dxa"/>
          </w:tcPr>
          <w:p w14:paraId="57E57460" w14:textId="77777777" w:rsidR="001162FE" w:rsidRPr="0064385C" w:rsidRDefault="00877CF2">
            <w:pPr>
              <w:rPr>
                <w:b/>
              </w:rPr>
            </w:pPr>
            <w:r w:rsidRPr="0064385C">
              <w:rPr>
                <w:b/>
              </w:rPr>
              <w:t>Medicine</w:t>
            </w:r>
          </w:p>
        </w:tc>
        <w:tc>
          <w:tcPr>
            <w:tcW w:w="8073" w:type="dxa"/>
          </w:tcPr>
          <w:p w14:paraId="18AE7EEA" w14:textId="53D9DCD1" w:rsidR="001162FE" w:rsidRDefault="008D7BEE">
            <w:r w:rsidRPr="008D7BEE">
              <w:rPr>
                <w:b/>
              </w:rPr>
              <w:t>Azelastine</w:t>
            </w:r>
            <w:r>
              <w:t xml:space="preserve"> 140 microgram nasal spray</w:t>
            </w:r>
          </w:p>
        </w:tc>
      </w:tr>
      <w:tr w:rsidR="001162FE" w14:paraId="792DEECD" w14:textId="77777777" w:rsidTr="001162FE">
        <w:tc>
          <w:tcPr>
            <w:tcW w:w="2689" w:type="dxa"/>
          </w:tcPr>
          <w:p w14:paraId="4887497F" w14:textId="77777777" w:rsidR="00877CF2" w:rsidRPr="0064385C" w:rsidRDefault="00877CF2">
            <w:pPr>
              <w:rPr>
                <w:b/>
              </w:rPr>
            </w:pPr>
            <w:r w:rsidRPr="0064385C">
              <w:rPr>
                <w:b/>
              </w:rPr>
              <w:t>Dosage instructions</w:t>
            </w:r>
          </w:p>
        </w:tc>
        <w:tc>
          <w:tcPr>
            <w:tcW w:w="8073" w:type="dxa"/>
          </w:tcPr>
          <w:p w14:paraId="091B58E5" w14:textId="76C9130A" w:rsidR="008D7BEE" w:rsidRDefault="008D7BEE">
            <w:r w:rsidRPr="00D31372">
              <w:rPr>
                <w:u w:val="single"/>
              </w:rPr>
              <w:t>Adult and child &gt; 6 years</w:t>
            </w:r>
            <w:r>
              <w:t>:  ONE spray into each nostril TWICE</w:t>
            </w:r>
            <w:r w:rsidRPr="008D7BEE">
              <w:t xml:space="preserve"> daily</w:t>
            </w:r>
          </w:p>
        </w:tc>
      </w:tr>
      <w:tr w:rsidR="001162FE" w14:paraId="0446AD61" w14:textId="77777777" w:rsidTr="001162FE">
        <w:tc>
          <w:tcPr>
            <w:tcW w:w="2689" w:type="dxa"/>
          </w:tcPr>
          <w:p w14:paraId="722F35B7" w14:textId="77777777" w:rsidR="001162FE" w:rsidRPr="0064385C" w:rsidRDefault="00877CF2">
            <w:pPr>
              <w:rPr>
                <w:b/>
              </w:rPr>
            </w:pPr>
            <w:r w:rsidRPr="0064385C">
              <w:rPr>
                <w:b/>
              </w:rPr>
              <w:t>Route of administration</w:t>
            </w:r>
          </w:p>
        </w:tc>
        <w:tc>
          <w:tcPr>
            <w:tcW w:w="8073" w:type="dxa"/>
          </w:tcPr>
          <w:p w14:paraId="182CA871" w14:textId="67F9276C" w:rsidR="001162FE" w:rsidRDefault="008D7BEE">
            <w:r>
              <w:t>Intranasal</w:t>
            </w:r>
          </w:p>
        </w:tc>
      </w:tr>
      <w:tr w:rsidR="001162FE" w14:paraId="7F60EFF0" w14:textId="77777777" w:rsidTr="001162FE">
        <w:tc>
          <w:tcPr>
            <w:tcW w:w="2689" w:type="dxa"/>
          </w:tcPr>
          <w:p w14:paraId="267609CD" w14:textId="77777777" w:rsidR="001162FE" w:rsidRPr="0064385C" w:rsidRDefault="0064385C" w:rsidP="0064385C">
            <w:pPr>
              <w:rPr>
                <w:b/>
              </w:rPr>
            </w:pPr>
            <w:r>
              <w:rPr>
                <w:b/>
              </w:rPr>
              <w:t>Quantity to be given</w:t>
            </w:r>
          </w:p>
        </w:tc>
        <w:tc>
          <w:tcPr>
            <w:tcW w:w="8073" w:type="dxa"/>
          </w:tcPr>
          <w:p w14:paraId="1962D3B8" w14:textId="5C6A50D8" w:rsidR="001162FE" w:rsidRDefault="008D7BEE">
            <w:r>
              <w:t>1 x original pack</w:t>
            </w:r>
          </w:p>
        </w:tc>
      </w:tr>
      <w:tr w:rsidR="001162FE" w14:paraId="7281C52B" w14:textId="77777777" w:rsidTr="001162FE">
        <w:tc>
          <w:tcPr>
            <w:tcW w:w="2689" w:type="dxa"/>
          </w:tcPr>
          <w:p w14:paraId="44E1CFEF" w14:textId="77777777" w:rsidR="001162FE" w:rsidRPr="0064385C" w:rsidRDefault="00877CF2">
            <w:pPr>
              <w:rPr>
                <w:b/>
              </w:rPr>
            </w:pPr>
            <w:r w:rsidRPr="0064385C">
              <w:rPr>
                <w:b/>
              </w:rPr>
              <w:t>Contraindications</w:t>
            </w:r>
          </w:p>
        </w:tc>
        <w:tc>
          <w:tcPr>
            <w:tcW w:w="8073" w:type="dxa"/>
          </w:tcPr>
          <w:p w14:paraId="25F2E682" w14:textId="3D799ADF" w:rsidR="001162FE" w:rsidRDefault="008D7BEE">
            <w:r w:rsidRPr="008D7BEE">
              <w:t>Patients who have shown hypersensitivity to</w:t>
            </w:r>
            <w:r>
              <w:t xml:space="preserve"> azelastine</w:t>
            </w:r>
          </w:p>
        </w:tc>
      </w:tr>
      <w:tr w:rsidR="001162FE" w14:paraId="5B30D1F9" w14:textId="77777777" w:rsidTr="00DF4080">
        <w:tc>
          <w:tcPr>
            <w:tcW w:w="2689" w:type="dxa"/>
            <w:tcBorders>
              <w:bottom w:val="single" w:sz="4" w:space="0" w:color="auto"/>
            </w:tcBorders>
          </w:tcPr>
          <w:p w14:paraId="7775E872" w14:textId="77777777" w:rsidR="001162FE" w:rsidRPr="0064385C" w:rsidRDefault="00877CF2">
            <w:pPr>
              <w:rPr>
                <w:b/>
              </w:rPr>
            </w:pPr>
            <w:r w:rsidRPr="0064385C">
              <w:rPr>
                <w:b/>
              </w:rPr>
              <w:t>Precautions</w:t>
            </w:r>
          </w:p>
        </w:tc>
        <w:tc>
          <w:tcPr>
            <w:tcW w:w="8073" w:type="dxa"/>
            <w:tcBorders>
              <w:bottom w:val="single" w:sz="4" w:space="0" w:color="auto"/>
            </w:tcBorders>
          </w:tcPr>
          <w:p w14:paraId="016357ED" w14:textId="265E7B21" w:rsidR="001162FE" w:rsidRDefault="008D7BEE" w:rsidP="008D7BEE">
            <w:pPr>
              <w:pStyle w:val="ListParagraph"/>
              <w:numPr>
                <w:ilvl w:val="0"/>
                <w:numId w:val="5"/>
              </w:numPr>
            </w:pPr>
            <w:r>
              <w:t>Pregnancy- category B3</w:t>
            </w:r>
          </w:p>
        </w:tc>
      </w:tr>
      <w:tr w:rsidR="00DF4080" w:rsidRPr="00DF4080" w14:paraId="1D227B37" w14:textId="77777777" w:rsidTr="00DF4080">
        <w:tc>
          <w:tcPr>
            <w:tcW w:w="2689" w:type="dxa"/>
            <w:tcBorders>
              <w:right w:val="nil"/>
            </w:tcBorders>
          </w:tcPr>
          <w:p w14:paraId="7AF4241B" w14:textId="77777777" w:rsidR="00DF4080" w:rsidRPr="00DF4080" w:rsidRDefault="00DF4080">
            <w:pPr>
              <w:rPr>
                <w:b/>
                <w:sz w:val="12"/>
                <w:szCs w:val="12"/>
              </w:rPr>
            </w:pPr>
          </w:p>
        </w:tc>
        <w:tc>
          <w:tcPr>
            <w:tcW w:w="8073" w:type="dxa"/>
            <w:tcBorders>
              <w:left w:val="nil"/>
            </w:tcBorders>
          </w:tcPr>
          <w:p w14:paraId="031A25A2" w14:textId="77777777" w:rsidR="00DF4080" w:rsidRPr="00DF4080" w:rsidRDefault="00DF4080">
            <w:pPr>
              <w:rPr>
                <w:sz w:val="12"/>
                <w:szCs w:val="12"/>
              </w:rPr>
            </w:pPr>
          </w:p>
        </w:tc>
      </w:tr>
      <w:tr w:rsidR="00192B86" w:rsidRPr="00FE0776" w14:paraId="4FC663C0" w14:textId="77777777" w:rsidTr="00311365">
        <w:tc>
          <w:tcPr>
            <w:tcW w:w="2689" w:type="dxa"/>
          </w:tcPr>
          <w:p w14:paraId="7F09F7B5" w14:textId="77777777" w:rsidR="00192B86" w:rsidRPr="0064385C" w:rsidRDefault="00192B86" w:rsidP="00311365">
            <w:pPr>
              <w:rPr>
                <w:b/>
              </w:rPr>
            </w:pPr>
            <w:r>
              <w:rPr>
                <w:b/>
              </w:rPr>
              <w:t>Indication</w:t>
            </w:r>
          </w:p>
        </w:tc>
        <w:tc>
          <w:tcPr>
            <w:tcW w:w="8073" w:type="dxa"/>
          </w:tcPr>
          <w:p w14:paraId="3C70D5C9" w14:textId="318B2A08" w:rsidR="00192B86" w:rsidRPr="00FE0776" w:rsidRDefault="00192B86" w:rsidP="00192B86">
            <w:pPr>
              <w:rPr>
                <w:b/>
              </w:rPr>
            </w:pPr>
            <w:r>
              <w:rPr>
                <w:b/>
              </w:rPr>
              <w:t xml:space="preserve">Predominant </w:t>
            </w:r>
            <w:r>
              <w:rPr>
                <w:b/>
              </w:rPr>
              <w:t>eye symptoms</w:t>
            </w:r>
            <w:r w:rsidRPr="00FE0776">
              <w:rPr>
                <w:b/>
              </w:rPr>
              <w:t xml:space="preserve"> associated with</w:t>
            </w:r>
            <w:r>
              <w:rPr>
                <w:b/>
              </w:rPr>
              <w:t xml:space="preserve"> mild</w:t>
            </w:r>
            <w:r w:rsidRPr="00FE0776">
              <w:rPr>
                <w:b/>
              </w:rPr>
              <w:t xml:space="preserve"> hay fever</w:t>
            </w:r>
            <w:r>
              <w:rPr>
                <w:b/>
              </w:rPr>
              <w:t xml:space="preserve"> symptoms</w:t>
            </w:r>
          </w:p>
        </w:tc>
      </w:tr>
      <w:tr w:rsidR="00192B86" w14:paraId="6EEE37A9" w14:textId="77777777" w:rsidTr="00311365">
        <w:tc>
          <w:tcPr>
            <w:tcW w:w="2689" w:type="dxa"/>
          </w:tcPr>
          <w:p w14:paraId="08ED8D87" w14:textId="77777777" w:rsidR="00192B86" w:rsidRPr="0064385C" w:rsidRDefault="00192B86" w:rsidP="00311365">
            <w:pPr>
              <w:rPr>
                <w:b/>
              </w:rPr>
            </w:pPr>
            <w:r w:rsidRPr="0064385C">
              <w:rPr>
                <w:b/>
              </w:rPr>
              <w:t>Medicine</w:t>
            </w:r>
          </w:p>
        </w:tc>
        <w:tc>
          <w:tcPr>
            <w:tcW w:w="8073" w:type="dxa"/>
          </w:tcPr>
          <w:p w14:paraId="1C5B202E" w14:textId="59DC1E7F" w:rsidR="00192B86" w:rsidRPr="00192B86" w:rsidRDefault="00192B86" w:rsidP="00311365">
            <w:r>
              <w:rPr>
                <w:b/>
              </w:rPr>
              <w:t xml:space="preserve">Cromoglicate sodium 2% </w:t>
            </w:r>
            <w:r>
              <w:t>eye drops</w:t>
            </w:r>
          </w:p>
        </w:tc>
      </w:tr>
      <w:tr w:rsidR="00192B86" w14:paraId="153682FE" w14:textId="77777777" w:rsidTr="00311365">
        <w:tc>
          <w:tcPr>
            <w:tcW w:w="2689" w:type="dxa"/>
          </w:tcPr>
          <w:p w14:paraId="43DA3C04" w14:textId="77777777" w:rsidR="00192B86" w:rsidRPr="0064385C" w:rsidRDefault="00192B86" w:rsidP="00311365">
            <w:pPr>
              <w:rPr>
                <w:b/>
              </w:rPr>
            </w:pPr>
            <w:r w:rsidRPr="0064385C">
              <w:rPr>
                <w:b/>
              </w:rPr>
              <w:t>Dosage instructions</w:t>
            </w:r>
          </w:p>
        </w:tc>
        <w:tc>
          <w:tcPr>
            <w:tcW w:w="8073" w:type="dxa"/>
          </w:tcPr>
          <w:p w14:paraId="263D3567" w14:textId="16E42D54" w:rsidR="00192B86" w:rsidRDefault="00192B86" w:rsidP="00192B86">
            <w:r w:rsidRPr="00D31372">
              <w:rPr>
                <w:u w:val="single"/>
              </w:rPr>
              <w:t>Adult</w:t>
            </w:r>
            <w:r>
              <w:rPr>
                <w:u w:val="single"/>
              </w:rPr>
              <w:t xml:space="preserve"> and child</w:t>
            </w:r>
            <w:r>
              <w:t xml:space="preserve">:  </w:t>
            </w:r>
            <w:r>
              <w:t>ONE to TWO drops into each eye FOUR times daily</w:t>
            </w:r>
          </w:p>
        </w:tc>
      </w:tr>
      <w:tr w:rsidR="00192B86" w14:paraId="28BD1B39" w14:textId="77777777" w:rsidTr="00311365">
        <w:tc>
          <w:tcPr>
            <w:tcW w:w="2689" w:type="dxa"/>
          </w:tcPr>
          <w:p w14:paraId="674C0431" w14:textId="77777777" w:rsidR="00192B86" w:rsidRPr="0064385C" w:rsidRDefault="00192B86" w:rsidP="00311365">
            <w:pPr>
              <w:rPr>
                <w:b/>
              </w:rPr>
            </w:pPr>
            <w:r w:rsidRPr="0064385C">
              <w:rPr>
                <w:b/>
              </w:rPr>
              <w:t>Route of administration</w:t>
            </w:r>
          </w:p>
        </w:tc>
        <w:tc>
          <w:tcPr>
            <w:tcW w:w="8073" w:type="dxa"/>
          </w:tcPr>
          <w:p w14:paraId="6A49B54C" w14:textId="389B1949" w:rsidR="00192B86" w:rsidRDefault="00192B86" w:rsidP="00311365">
            <w:r>
              <w:t>Occular</w:t>
            </w:r>
          </w:p>
        </w:tc>
      </w:tr>
      <w:tr w:rsidR="00192B86" w14:paraId="57E959C8" w14:textId="77777777" w:rsidTr="00311365">
        <w:tc>
          <w:tcPr>
            <w:tcW w:w="2689" w:type="dxa"/>
          </w:tcPr>
          <w:p w14:paraId="79CA21C9" w14:textId="77777777" w:rsidR="00192B86" w:rsidRPr="0064385C" w:rsidRDefault="00192B86" w:rsidP="00311365">
            <w:pPr>
              <w:rPr>
                <w:b/>
              </w:rPr>
            </w:pPr>
            <w:r>
              <w:rPr>
                <w:b/>
              </w:rPr>
              <w:t>Quantity to be given</w:t>
            </w:r>
          </w:p>
        </w:tc>
        <w:tc>
          <w:tcPr>
            <w:tcW w:w="8073" w:type="dxa"/>
          </w:tcPr>
          <w:p w14:paraId="5A7F122E" w14:textId="77777777" w:rsidR="00192B86" w:rsidRDefault="00192B86" w:rsidP="00311365">
            <w:r>
              <w:t>1 x original pack</w:t>
            </w:r>
          </w:p>
        </w:tc>
      </w:tr>
      <w:tr w:rsidR="00192B86" w14:paraId="2D30DCFE" w14:textId="77777777" w:rsidTr="00311365">
        <w:tc>
          <w:tcPr>
            <w:tcW w:w="2689" w:type="dxa"/>
          </w:tcPr>
          <w:p w14:paraId="2E263D27" w14:textId="77777777" w:rsidR="00192B86" w:rsidRPr="0064385C" w:rsidRDefault="00192B86" w:rsidP="00311365">
            <w:pPr>
              <w:rPr>
                <w:b/>
              </w:rPr>
            </w:pPr>
            <w:r w:rsidRPr="0064385C">
              <w:rPr>
                <w:b/>
              </w:rPr>
              <w:t>Contraindications</w:t>
            </w:r>
          </w:p>
        </w:tc>
        <w:tc>
          <w:tcPr>
            <w:tcW w:w="8073" w:type="dxa"/>
          </w:tcPr>
          <w:p w14:paraId="0C04BF70" w14:textId="442A08F5" w:rsidR="00192B86" w:rsidRDefault="00192B86" w:rsidP="00192B86">
            <w:r w:rsidRPr="008D7BEE">
              <w:t>Patients who have shown hypersensitivity to</w:t>
            </w:r>
            <w:r>
              <w:t xml:space="preserve"> </w:t>
            </w:r>
            <w:r>
              <w:t>cromoglicate sodium</w:t>
            </w:r>
          </w:p>
        </w:tc>
      </w:tr>
      <w:tr w:rsidR="00192B86" w14:paraId="6E73518A" w14:textId="77777777" w:rsidTr="00311365">
        <w:tc>
          <w:tcPr>
            <w:tcW w:w="2689" w:type="dxa"/>
            <w:tcBorders>
              <w:bottom w:val="single" w:sz="4" w:space="0" w:color="auto"/>
            </w:tcBorders>
          </w:tcPr>
          <w:p w14:paraId="469AC3AE" w14:textId="77777777" w:rsidR="00192B86" w:rsidRPr="0064385C" w:rsidRDefault="00192B86" w:rsidP="00311365">
            <w:pPr>
              <w:rPr>
                <w:b/>
              </w:rPr>
            </w:pPr>
            <w:r w:rsidRPr="0064385C">
              <w:rPr>
                <w:b/>
              </w:rPr>
              <w:t>Precautions</w:t>
            </w:r>
          </w:p>
        </w:tc>
        <w:tc>
          <w:tcPr>
            <w:tcW w:w="8073" w:type="dxa"/>
            <w:tcBorders>
              <w:bottom w:val="single" w:sz="4" w:space="0" w:color="auto"/>
            </w:tcBorders>
          </w:tcPr>
          <w:p w14:paraId="3E938F59" w14:textId="77777777" w:rsidR="00192B86" w:rsidRPr="00192B86" w:rsidRDefault="00192B86" w:rsidP="00192B86">
            <w:pPr>
              <w:pStyle w:val="ListParagraph"/>
              <w:numPr>
                <w:ilvl w:val="0"/>
                <w:numId w:val="5"/>
              </w:numPr>
            </w:pPr>
            <w:r w:rsidRPr="00192B86">
              <w:t>Avoid wearing soft contact lenses during treatment.</w:t>
            </w:r>
          </w:p>
          <w:p w14:paraId="3A51C806" w14:textId="3C6720CC" w:rsidR="00192B86" w:rsidRDefault="00192B86" w:rsidP="00192B86">
            <w:pPr>
              <w:pStyle w:val="ListParagraph"/>
              <w:numPr>
                <w:ilvl w:val="0"/>
                <w:numId w:val="5"/>
              </w:numPr>
            </w:pPr>
            <w:r w:rsidRPr="00192B86">
              <w:t>May take 3–6 weeks to reach full effect.</w:t>
            </w:r>
          </w:p>
        </w:tc>
      </w:tr>
      <w:tr w:rsidR="00192B86" w:rsidRPr="00DF4080" w14:paraId="4268EE9C" w14:textId="77777777" w:rsidTr="00311365">
        <w:tc>
          <w:tcPr>
            <w:tcW w:w="2689" w:type="dxa"/>
            <w:tcBorders>
              <w:right w:val="nil"/>
            </w:tcBorders>
          </w:tcPr>
          <w:p w14:paraId="5B620DE5" w14:textId="77777777" w:rsidR="00192B86" w:rsidRDefault="00192B86" w:rsidP="00311365">
            <w:pPr>
              <w:rPr>
                <w:b/>
                <w:sz w:val="12"/>
                <w:szCs w:val="12"/>
              </w:rPr>
            </w:pPr>
          </w:p>
          <w:p w14:paraId="590C0049" w14:textId="77777777" w:rsidR="00192B86" w:rsidRPr="00DF4080" w:rsidRDefault="00192B86" w:rsidP="00311365">
            <w:pPr>
              <w:rPr>
                <w:b/>
                <w:sz w:val="12"/>
                <w:szCs w:val="12"/>
              </w:rPr>
            </w:pPr>
          </w:p>
        </w:tc>
        <w:tc>
          <w:tcPr>
            <w:tcW w:w="8073" w:type="dxa"/>
            <w:tcBorders>
              <w:left w:val="nil"/>
            </w:tcBorders>
          </w:tcPr>
          <w:p w14:paraId="3C73D2C0" w14:textId="77777777" w:rsidR="00192B86" w:rsidRPr="00DF4080" w:rsidRDefault="00192B86" w:rsidP="00311365">
            <w:pPr>
              <w:rPr>
                <w:sz w:val="12"/>
                <w:szCs w:val="12"/>
              </w:rPr>
            </w:pPr>
          </w:p>
        </w:tc>
      </w:tr>
      <w:tr w:rsidR="00DF4080" w14:paraId="7093D786" w14:textId="77777777" w:rsidTr="005661B8">
        <w:tc>
          <w:tcPr>
            <w:tcW w:w="2689" w:type="dxa"/>
          </w:tcPr>
          <w:p w14:paraId="4EDDABC6" w14:textId="77777777" w:rsidR="00DF4080" w:rsidRPr="0064385C" w:rsidRDefault="00DF4080" w:rsidP="005661B8">
            <w:pPr>
              <w:rPr>
                <w:b/>
              </w:rPr>
            </w:pPr>
            <w:r>
              <w:rPr>
                <w:b/>
              </w:rPr>
              <w:lastRenderedPageBreak/>
              <w:t>Indication</w:t>
            </w:r>
          </w:p>
        </w:tc>
        <w:tc>
          <w:tcPr>
            <w:tcW w:w="8073" w:type="dxa"/>
          </w:tcPr>
          <w:p w14:paraId="29139DA7" w14:textId="6B3E9453" w:rsidR="00DF4080" w:rsidRPr="00F93060" w:rsidRDefault="00FD76A9" w:rsidP="005661B8">
            <w:pPr>
              <w:rPr>
                <w:b/>
              </w:rPr>
            </w:pPr>
            <w:r w:rsidRPr="00F93060">
              <w:rPr>
                <w:b/>
              </w:rPr>
              <w:t>Hay fever</w:t>
            </w:r>
            <w:r w:rsidR="00F93060" w:rsidRPr="00F93060">
              <w:rPr>
                <w:b/>
              </w:rPr>
              <w:t xml:space="preserve"> associated with multiple symptoms</w:t>
            </w:r>
            <w:r w:rsidR="00FE0776">
              <w:rPr>
                <w:b/>
              </w:rPr>
              <w:t>, not just nasal congestion</w:t>
            </w:r>
          </w:p>
        </w:tc>
      </w:tr>
      <w:tr w:rsidR="00DF4080" w14:paraId="0E1EEA4B" w14:textId="77777777" w:rsidTr="005661B8">
        <w:tc>
          <w:tcPr>
            <w:tcW w:w="2689" w:type="dxa"/>
          </w:tcPr>
          <w:p w14:paraId="72C010EF" w14:textId="77777777" w:rsidR="00DF4080" w:rsidRPr="0064385C" w:rsidRDefault="00DF4080" w:rsidP="005661B8">
            <w:pPr>
              <w:rPr>
                <w:b/>
              </w:rPr>
            </w:pPr>
            <w:r w:rsidRPr="0064385C">
              <w:rPr>
                <w:b/>
              </w:rPr>
              <w:t>Medicine</w:t>
            </w:r>
          </w:p>
        </w:tc>
        <w:tc>
          <w:tcPr>
            <w:tcW w:w="8073" w:type="dxa"/>
          </w:tcPr>
          <w:p w14:paraId="4D569856" w14:textId="77777777" w:rsidR="00DF4080" w:rsidRPr="00F93060" w:rsidRDefault="00DF4080" w:rsidP="005661B8">
            <w:pPr>
              <w:rPr>
                <w:b/>
              </w:rPr>
            </w:pPr>
            <w:r w:rsidRPr="00F93060">
              <w:rPr>
                <w:b/>
              </w:rPr>
              <w:t xml:space="preserve">Loratadine </w:t>
            </w:r>
          </w:p>
        </w:tc>
      </w:tr>
      <w:tr w:rsidR="00DF4080" w14:paraId="5BC0B9EC" w14:textId="77777777" w:rsidTr="005661B8">
        <w:tc>
          <w:tcPr>
            <w:tcW w:w="2689" w:type="dxa"/>
          </w:tcPr>
          <w:p w14:paraId="530F0AEC" w14:textId="77777777" w:rsidR="00DF4080" w:rsidRPr="0064385C" w:rsidRDefault="00DF4080" w:rsidP="005661B8">
            <w:pPr>
              <w:rPr>
                <w:b/>
              </w:rPr>
            </w:pPr>
            <w:r w:rsidRPr="0064385C">
              <w:rPr>
                <w:b/>
              </w:rPr>
              <w:t>Dosage instructions</w:t>
            </w:r>
          </w:p>
        </w:tc>
        <w:tc>
          <w:tcPr>
            <w:tcW w:w="8073" w:type="dxa"/>
          </w:tcPr>
          <w:p w14:paraId="0322EB1C" w14:textId="77777777" w:rsidR="00DF4080" w:rsidRDefault="00DF4080" w:rsidP="005661B8">
            <w:r w:rsidRPr="00E56C8F">
              <w:rPr>
                <w:u w:val="single"/>
              </w:rPr>
              <w:t>Adults</w:t>
            </w:r>
            <w:r w:rsidR="003675CE" w:rsidRPr="00E56C8F">
              <w:rPr>
                <w:u w:val="single"/>
              </w:rPr>
              <w:t xml:space="preserve"> and children &gt; 30kg</w:t>
            </w:r>
            <w:r w:rsidR="003675CE">
              <w:t>: 10mg O</w:t>
            </w:r>
            <w:r>
              <w:t>NCE daily PRN</w:t>
            </w:r>
          </w:p>
          <w:p w14:paraId="06DCB2B7" w14:textId="4C0DBD3E" w:rsidR="003675CE" w:rsidRPr="00703430" w:rsidRDefault="00DF4080" w:rsidP="005661B8">
            <w:r w:rsidRPr="00E56C8F">
              <w:rPr>
                <w:u w:val="single"/>
              </w:rPr>
              <w:t>Children</w:t>
            </w:r>
            <w:r w:rsidR="003675CE" w:rsidRPr="00E56C8F">
              <w:rPr>
                <w:u w:val="single"/>
              </w:rPr>
              <w:t xml:space="preserve"> 2-12 years &lt; 30kg</w:t>
            </w:r>
            <w:r>
              <w:t>:</w:t>
            </w:r>
            <w:r w:rsidR="003675CE">
              <w:t xml:space="preserve"> 5mg ONCE daily</w:t>
            </w:r>
            <w:r>
              <w:t xml:space="preserve"> </w:t>
            </w:r>
            <w:r w:rsidR="003675CE">
              <w:t>PRN</w:t>
            </w:r>
          </w:p>
        </w:tc>
      </w:tr>
      <w:tr w:rsidR="00DF4080" w14:paraId="6DDC89FE" w14:textId="77777777" w:rsidTr="005661B8">
        <w:tc>
          <w:tcPr>
            <w:tcW w:w="2689" w:type="dxa"/>
          </w:tcPr>
          <w:p w14:paraId="0BA9695B" w14:textId="77777777" w:rsidR="00DF4080" w:rsidRPr="0064385C" w:rsidRDefault="00DF4080" w:rsidP="005661B8">
            <w:pPr>
              <w:rPr>
                <w:b/>
              </w:rPr>
            </w:pPr>
            <w:r w:rsidRPr="0064385C">
              <w:rPr>
                <w:b/>
              </w:rPr>
              <w:t>Route of administration</w:t>
            </w:r>
          </w:p>
        </w:tc>
        <w:tc>
          <w:tcPr>
            <w:tcW w:w="8073" w:type="dxa"/>
          </w:tcPr>
          <w:p w14:paraId="7D3B7AA2" w14:textId="77777777" w:rsidR="00DF4080" w:rsidRDefault="003675CE" w:rsidP="005661B8">
            <w:r>
              <w:t>Oral</w:t>
            </w:r>
          </w:p>
        </w:tc>
      </w:tr>
      <w:tr w:rsidR="00DF4080" w14:paraId="673DE3C4" w14:textId="77777777" w:rsidTr="005661B8">
        <w:tc>
          <w:tcPr>
            <w:tcW w:w="2689" w:type="dxa"/>
          </w:tcPr>
          <w:p w14:paraId="40A6B9E7" w14:textId="77777777" w:rsidR="00DF4080" w:rsidRPr="0064385C" w:rsidRDefault="00DF4080" w:rsidP="005661B8">
            <w:pPr>
              <w:rPr>
                <w:b/>
              </w:rPr>
            </w:pPr>
            <w:r>
              <w:rPr>
                <w:b/>
              </w:rPr>
              <w:t>Quantity to be given</w:t>
            </w:r>
          </w:p>
        </w:tc>
        <w:tc>
          <w:tcPr>
            <w:tcW w:w="8073" w:type="dxa"/>
          </w:tcPr>
          <w:p w14:paraId="5736AAA8" w14:textId="77777777" w:rsidR="00DF4080" w:rsidRDefault="003675CE" w:rsidP="005661B8">
            <w:r>
              <w:t xml:space="preserve">10 days </w:t>
            </w:r>
          </w:p>
        </w:tc>
      </w:tr>
      <w:tr w:rsidR="00DF4080" w14:paraId="04850B3B" w14:textId="77777777" w:rsidTr="005661B8">
        <w:tc>
          <w:tcPr>
            <w:tcW w:w="2689" w:type="dxa"/>
          </w:tcPr>
          <w:p w14:paraId="4C57D641" w14:textId="77777777" w:rsidR="00DF4080" w:rsidRPr="0064385C" w:rsidRDefault="00DF4080" w:rsidP="005661B8">
            <w:pPr>
              <w:rPr>
                <w:b/>
              </w:rPr>
            </w:pPr>
            <w:r w:rsidRPr="0064385C">
              <w:rPr>
                <w:b/>
              </w:rPr>
              <w:t>Contraindications</w:t>
            </w:r>
          </w:p>
        </w:tc>
        <w:tc>
          <w:tcPr>
            <w:tcW w:w="8073" w:type="dxa"/>
          </w:tcPr>
          <w:p w14:paraId="60C365B6" w14:textId="77777777" w:rsidR="003675CE" w:rsidRDefault="003675CE" w:rsidP="003675CE">
            <w:r>
              <w:t>P</w:t>
            </w:r>
            <w:r w:rsidRPr="003675CE">
              <w:t>atients who have shown hypersensitivity</w:t>
            </w:r>
            <w:r>
              <w:t xml:space="preserve"> to loratadine</w:t>
            </w:r>
          </w:p>
          <w:p w14:paraId="4321D8C0" w14:textId="6AED30DF" w:rsidR="00DF4080" w:rsidRDefault="003675CE" w:rsidP="00E56C8F">
            <w:r>
              <w:t xml:space="preserve">Children under the age of </w:t>
            </w:r>
            <w:r w:rsidR="00E56C8F">
              <w:t>2</w:t>
            </w:r>
            <w:r>
              <w:t xml:space="preserve"> year</w:t>
            </w:r>
            <w:r w:rsidR="00E56C8F">
              <w:t>s</w:t>
            </w:r>
          </w:p>
        </w:tc>
      </w:tr>
      <w:tr w:rsidR="00DF4080" w14:paraId="7E2F8216" w14:textId="77777777" w:rsidTr="005661B8">
        <w:tc>
          <w:tcPr>
            <w:tcW w:w="2689" w:type="dxa"/>
            <w:tcBorders>
              <w:bottom w:val="single" w:sz="4" w:space="0" w:color="auto"/>
            </w:tcBorders>
          </w:tcPr>
          <w:p w14:paraId="7F0C82DD" w14:textId="77777777" w:rsidR="00DF4080" w:rsidRPr="0064385C" w:rsidRDefault="00DF4080" w:rsidP="005661B8">
            <w:pPr>
              <w:rPr>
                <w:b/>
              </w:rPr>
            </w:pPr>
            <w:r w:rsidRPr="0064385C">
              <w:rPr>
                <w:b/>
              </w:rPr>
              <w:t>Precautions</w:t>
            </w:r>
          </w:p>
        </w:tc>
        <w:tc>
          <w:tcPr>
            <w:tcW w:w="8073" w:type="dxa"/>
            <w:tcBorders>
              <w:bottom w:val="single" w:sz="4" w:space="0" w:color="auto"/>
            </w:tcBorders>
          </w:tcPr>
          <w:p w14:paraId="1E054D7A" w14:textId="77777777" w:rsidR="00DF4080" w:rsidRDefault="00DF4080" w:rsidP="003675CE">
            <w:pPr>
              <w:pStyle w:val="ListParagraph"/>
              <w:numPr>
                <w:ilvl w:val="0"/>
                <w:numId w:val="3"/>
              </w:numPr>
            </w:pPr>
            <w:r>
              <w:t>R</w:t>
            </w:r>
            <w:r w:rsidRPr="00DF4080">
              <w:t>educe dose frequency to alternate days in severe impairment</w:t>
            </w:r>
          </w:p>
          <w:p w14:paraId="1B7626FF" w14:textId="77777777" w:rsidR="00DF4080" w:rsidRDefault="00DF4080" w:rsidP="003675CE">
            <w:pPr>
              <w:pStyle w:val="ListParagraph"/>
              <w:numPr>
                <w:ilvl w:val="0"/>
                <w:numId w:val="3"/>
              </w:numPr>
            </w:pPr>
            <w:r>
              <w:t>Pregnancy- category B1</w:t>
            </w:r>
          </w:p>
          <w:p w14:paraId="4C79F818" w14:textId="31B0E4AA" w:rsidR="00192B86" w:rsidRDefault="00192B86" w:rsidP="003675CE">
            <w:pPr>
              <w:pStyle w:val="ListParagraph"/>
              <w:numPr>
                <w:ilvl w:val="0"/>
                <w:numId w:val="3"/>
              </w:numPr>
            </w:pPr>
            <w:r>
              <w:t>Can be combined with nasal spray and/or eye drops</w:t>
            </w:r>
            <w:bookmarkStart w:id="0" w:name="_GoBack"/>
            <w:bookmarkEnd w:id="0"/>
          </w:p>
        </w:tc>
      </w:tr>
      <w:tr w:rsidR="00DF4080" w:rsidRPr="00DF4080" w14:paraId="648B216D" w14:textId="77777777" w:rsidTr="005661B8">
        <w:tc>
          <w:tcPr>
            <w:tcW w:w="2689" w:type="dxa"/>
            <w:tcBorders>
              <w:right w:val="nil"/>
            </w:tcBorders>
          </w:tcPr>
          <w:p w14:paraId="7F9E903B" w14:textId="77777777" w:rsidR="00DF4080" w:rsidRPr="00DF4080" w:rsidRDefault="00DF4080" w:rsidP="005661B8">
            <w:pPr>
              <w:rPr>
                <w:b/>
                <w:sz w:val="12"/>
                <w:szCs w:val="12"/>
              </w:rPr>
            </w:pPr>
          </w:p>
        </w:tc>
        <w:tc>
          <w:tcPr>
            <w:tcW w:w="8073" w:type="dxa"/>
            <w:tcBorders>
              <w:left w:val="nil"/>
            </w:tcBorders>
          </w:tcPr>
          <w:p w14:paraId="01102C96" w14:textId="77777777" w:rsidR="00DF4080" w:rsidRPr="00DF4080" w:rsidRDefault="00DF4080" w:rsidP="005661B8">
            <w:pPr>
              <w:rPr>
                <w:sz w:val="12"/>
                <w:szCs w:val="12"/>
              </w:rPr>
            </w:pPr>
          </w:p>
        </w:tc>
      </w:tr>
      <w:tr w:rsidR="00F93060" w14:paraId="46D2E28B" w14:textId="77777777" w:rsidTr="005661B8">
        <w:tc>
          <w:tcPr>
            <w:tcW w:w="2689" w:type="dxa"/>
          </w:tcPr>
          <w:p w14:paraId="488E2F82" w14:textId="77777777" w:rsidR="00F93060" w:rsidRPr="0064385C" w:rsidRDefault="00F93060" w:rsidP="005661B8">
            <w:pPr>
              <w:rPr>
                <w:b/>
              </w:rPr>
            </w:pPr>
            <w:r>
              <w:rPr>
                <w:b/>
              </w:rPr>
              <w:t>Indication</w:t>
            </w:r>
          </w:p>
        </w:tc>
        <w:tc>
          <w:tcPr>
            <w:tcW w:w="8073" w:type="dxa"/>
          </w:tcPr>
          <w:p w14:paraId="11C17C86" w14:textId="77777777" w:rsidR="00F93060" w:rsidRPr="005661B8" w:rsidRDefault="00F93060" w:rsidP="00FD76A9">
            <w:pPr>
              <w:rPr>
                <w:b/>
              </w:rPr>
            </w:pPr>
            <w:r w:rsidRPr="005661B8">
              <w:rPr>
                <w:b/>
              </w:rPr>
              <w:t xml:space="preserve">For treatment of moderate to severe </w:t>
            </w:r>
            <w:r w:rsidR="00FD76A9" w:rsidRPr="005661B8">
              <w:rPr>
                <w:b/>
              </w:rPr>
              <w:t>hay fever</w:t>
            </w:r>
          </w:p>
        </w:tc>
      </w:tr>
      <w:tr w:rsidR="00F93060" w14:paraId="243EC751" w14:textId="77777777" w:rsidTr="005661B8">
        <w:tc>
          <w:tcPr>
            <w:tcW w:w="2689" w:type="dxa"/>
          </w:tcPr>
          <w:p w14:paraId="2349BB60" w14:textId="77777777" w:rsidR="00F93060" w:rsidRPr="0064385C" w:rsidRDefault="00F93060" w:rsidP="005661B8">
            <w:pPr>
              <w:rPr>
                <w:b/>
              </w:rPr>
            </w:pPr>
            <w:r w:rsidRPr="0064385C">
              <w:rPr>
                <w:b/>
              </w:rPr>
              <w:t>Medicine</w:t>
            </w:r>
          </w:p>
        </w:tc>
        <w:tc>
          <w:tcPr>
            <w:tcW w:w="8073" w:type="dxa"/>
          </w:tcPr>
          <w:p w14:paraId="5EA61349" w14:textId="693FB3DE" w:rsidR="00F93060" w:rsidRDefault="00FD76A9" w:rsidP="005661B8">
            <w:r w:rsidRPr="005661B8">
              <w:rPr>
                <w:b/>
              </w:rPr>
              <w:t>Fluticasone</w:t>
            </w:r>
            <w:r w:rsidR="005661B8">
              <w:t xml:space="preserve"> 50 microgram nasal spray</w:t>
            </w:r>
          </w:p>
        </w:tc>
      </w:tr>
      <w:tr w:rsidR="00F93060" w14:paraId="4B225DCF" w14:textId="77777777" w:rsidTr="005661B8">
        <w:tc>
          <w:tcPr>
            <w:tcW w:w="2689" w:type="dxa"/>
          </w:tcPr>
          <w:p w14:paraId="17712234" w14:textId="77777777" w:rsidR="00F93060" w:rsidRPr="0064385C" w:rsidRDefault="00F93060" w:rsidP="005661B8">
            <w:pPr>
              <w:rPr>
                <w:b/>
              </w:rPr>
            </w:pPr>
            <w:r w:rsidRPr="0064385C">
              <w:rPr>
                <w:b/>
              </w:rPr>
              <w:t>Dosage instructions</w:t>
            </w:r>
          </w:p>
        </w:tc>
        <w:tc>
          <w:tcPr>
            <w:tcW w:w="8073" w:type="dxa"/>
          </w:tcPr>
          <w:p w14:paraId="2C228087" w14:textId="5ACC3A74" w:rsidR="00F93060" w:rsidRDefault="005661B8" w:rsidP="005661B8">
            <w:r w:rsidRPr="00E56C8F">
              <w:rPr>
                <w:u w:val="single"/>
              </w:rPr>
              <w:t>Adult and children &gt; 12 years</w:t>
            </w:r>
            <w:r>
              <w:t xml:space="preserve">: </w:t>
            </w:r>
            <w:r w:rsidRPr="005661B8">
              <w:t>100 micrograms (</w:t>
            </w:r>
            <w:r>
              <w:t>2 sprays) into each nostril ONCE</w:t>
            </w:r>
            <w:r w:rsidRPr="005661B8">
              <w:t xml:space="preserve"> daily, preferably in the morning; when control achieved reduce to 50 micrograms </w:t>
            </w:r>
            <w:r>
              <w:t>(1 spray) into each nostril ONCE</w:t>
            </w:r>
            <w:r w:rsidRPr="005661B8">
              <w:t xml:space="preserve"> daily</w:t>
            </w:r>
            <w:r>
              <w:t>.</w:t>
            </w:r>
          </w:p>
          <w:p w14:paraId="6A39EC12" w14:textId="4A5A7980" w:rsidR="005661B8" w:rsidRDefault="005661B8" w:rsidP="005661B8">
            <w:r w:rsidRPr="00E56C8F">
              <w:rPr>
                <w:u w:val="single"/>
              </w:rPr>
              <w:t>Child 4–12 years</w:t>
            </w:r>
            <w:r>
              <w:t>:</w:t>
            </w:r>
            <w:r w:rsidRPr="005661B8">
              <w:t xml:space="preserve"> 50 micrograms </w:t>
            </w:r>
            <w:r>
              <w:t>(1 spray) into each nostril ONCE</w:t>
            </w:r>
            <w:r w:rsidRPr="005661B8">
              <w:t xml:space="preserve"> daily, preferably in the morning, increased to maximum </w:t>
            </w:r>
            <w:r>
              <w:t>TWICE</w:t>
            </w:r>
            <w:r w:rsidRPr="005661B8">
              <w:t xml:space="preserve"> daily if required</w:t>
            </w:r>
            <w:r>
              <w:t>.</w:t>
            </w:r>
          </w:p>
        </w:tc>
      </w:tr>
      <w:tr w:rsidR="00F93060" w14:paraId="7999077C" w14:textId="77777777" w:rsidTr="005661B8">
        <w:tc>
          <w:tcPr>
            <w:tcW w:w="2689" w:type="dxa"/>
          </w:tcPr>
          <w:p w14:paraId="00759DED" w14:textId="77777777" w:rsidR="00F93060" w:rsidRPr="0064385C" w:rsidRDefault="00F93060" w:rsidP="005661B8">
            <w:pPr>
              <w:rPr>
                <w:b/>
              </w:rPr>
            </w:pPr>
            <w:r w:rsidRPr="0064385C">
              <w:rPr>
                <w:b/>
              </w:rPr>
              <w:t>Route of administration</w:t>
            </w:r>
          </w:p>
        </w:tc>
        <w:tc>
          <w:tcPr>
            <w:tcW w:w="8073" w:type="dxa"/>
          </w:tcPr>
          <w:p w14:paraId="3B384AC4" w14:textId="01FC1770" w:rsidR="00F93060" w:rsidRDefault="005661B8" w:rsidP="005661B8">
            <w:r>
              <w:t>Intranasal</w:t>
            </w:r>
          </w:p>
        </w:tc>
      </w:tr>
      <w:tr w:rsidR="00F93060" w14:paraId="2CA99EFB" w14:textId="77777777" w:rsidTr="005661B8">
        <w:tc>
          <w:tcPr>
            <w:tcW w:w="2689" w:type="dxa"/>
          </w:tcPr>
          <w:p w14:paraId="7EC113E2" w14:textId="77777777" w:rsidR="00F93060" w:rsidRPr="0064385C" w:rsidRDefault="00F93060" w:rsidP="005661B8">
            <w:pPr>
              <w:rPr>
                <w:b/>
              </w:rPr>
            </w:pPr>
            <w:r>
              <w:rPr>
                <w:b/>
              </w:rPr>
              <w:t>Quantity to be given</w:t>
            </w:r>
          </w:p>
        </w:tc>
        <w:tc>
          <w:tcPr>
            <w:tcW w:w="8073" w:type="dxa"/>
          </w:tcPr>
          <w:p w14:paraId="5024BE69" w14:textId="3F1BE4BA" w:rsidR="00F93060" w:rsidRDefault="005661B8" w:rsidP="005661B8">
            <w:r>
              <w:t>1 x original pack</w:t>
            </w:r>
          </w:p>
        </w:tc>
      </w:tr>
      <w:tr w:rsidR="00F93060" w14:paraId="1BFAAFA3" w14:textId="77777777" w:rsidTr="005661B8">
        <w:tc>
          <w:tcPr>
            <w:tcW w:w="2689" w:type="dxa"/>
          </w:tcPr>
          <w:p w14:paraId="0244DF0D" w14:textId="77777777" w:rsidR="00F93060" w:rsidRPr="0064385C" w:rsidRDefault="00F93060" w:rsidP="005661B8">
            <w:pPr>
              <w:rPr>
                <w:b/>
              </w:rPr>
            </w:pPr>
            <w:r w:rsidRPr="0064385C">
              <w:rPr>
                <w:b/>
              </w:rPr>
              <w:t>Contraindications</w:t>
            </w:r>
          </w:p>
        </w:tc>
        <w:tc>
          <w:tcPr>
            <w:tcW w:w="8073" w:type="dxa"/>
          </w:tcPr>
          <w:p w14:paraId="3EC7991F" w14:textId="5F286B7C" w:rsidR="005661B8" w:rsidRDefault="005661B8" w:rsidP="005661B8">
            <w:r>
              <w:t>Untreated nasal infections</w:t>
            </w:r>
          </w:p>
          <w:p w14:paraId="272D9D5D" w14:textId="58B266F1" w:rsidR="00F93060" w:rsidRDefault="005661B8" w:rsidP="005661B8">
            <w:r>
              <w:t>F</w:t>
            </w:r>
            <w:r w:rsidRPr="005661B8">
              <w:t>ollowing nasal surgery or trauma (until healing has occurred)</w:t>
            </w:r>
          </w:p>
        </w:tc>
      </w:tr>
      <w:tr w:rsidR="00F93060" w14:paraId="2ABB068B" w14:textId="77777777" w:rsidTr="005661B8">
        <w:tc>
          <w:tcPr>
            <w:tcW w:w="2689" w:type="dxa"/>
            <w:tcBorders>
              <w:bottom w:val="single" w:sz="4" w:space="0" w:color="auto"/>
            </w:tcBorders>
          </w:tcPr>
          <w:p w14:paraId="7B30C931" w14:textId="0A4A1FCB" w:rsidR="00F93060" w:rsidRPr="0064385C" w:rsidRDefault="00F93060" w:rsidP="005661B8">
            <w:pPr>
              <w:rPr>
                <w:b/>
              </w:rPr>
            </w:pPr>
            <w:r w:rsidRPr="0064385C">
              <w:rPr>
                <w:b/>
              </w:rPr>
              <w:t>Precautions</w:t>
            </w:r>
          </w:p>
        </w:tc>
        <w:tc>
          <w:tcPr>
            <w:tcW w:w="8073" w:type="dxa"/>
            <w:tcBorders>
              <w:bottom w:val="single" w:sz="4" w:space="0" w:color="auto"/>
            </w:tcBorders>
          </w:tcPr>
          <w:p w14:paraId="0BF3FFD1" w14:textId="77777777" w:rsidR="00F93060" w:rsidRDefault="005661B8" w:rsidP="005661B8">
            <w:pPr>
              <w:pStyle w:val="ListParagraph"/>
              <w:numPr>
                <w:ilvl w:val="0"/>
                <w:numId w:val="4"/>
              </w:numPr>
            </w:pPr>
            <w:r>
              <w:t>Pregnancy- category B3</w:t>
            </w:r>
          </w:p>
          <w:p w14:paraId="668FE6E6" w14:textId="77777777" w:rsidR="005661B8" w:rsidRDefault="005661B8" w:rsidP="005661B8">
            <w:pPr>
              <w:pStyle w:val="ListParagraph"/>
              <w:numPr>
                <w:ilvl w:val="0"/>
                <w:numId w:val="4"/>
              </w:numPr>
            </w:pPr>
            <w:r>
              <w:t>Do NOT use continuously &gt; 6 months</w:t>
            </w:r>
          </w:p>
          <w:p w14:paraId="19A359DC" w14:textId="10771F79" w:rsidR="005661B8" w:rsidRDefault="005661B8" w:rsidP="005661B8">
            <w:pPr>
              <w:pStyle w:val="ListParagraph"/>
              <w:numPr>
                <w:ilvl w:val="0"/>
                <w:numId w:val="4"/>
              </w:numPr>
            </w:pPr>
            <w:r>
              <w:t>Full response may take 3-4 days to achieve.</w:t>
            </w:r>
          </w:p>
        </w:tc>
      </w:tr>
      <w:tr w:rsidR="00F93060" w:rsidRPr="00DF4080" w14:paraId="6EA79E37" w14:textId="77777777" w:rsidTr="005661B8">
        <w:tc>
          <w:tcPr>
            <w:tcW w:w="2689" w:type="dxa"/>
            <w:tcBorders>
              <w:right w:val="nil"/>
            </w:tcBorders>
          </w:tcPr>
          <w:p w14:paraId="63F6D01F" w14:textId="399A0276" w:rsidR="00F93060" w:rsidRPr="00DF4080" w:rsidRDefault="00F93060" w:rsidP="005661B8">
            <w:pPr>
              <w:rPr>
                <w:b/>
                <w:sz w:val="12"/>
                <w:szCs w:val="12"/>
              </w:rPr>
            </w:pPr>
          </w:p>
        </w:tc>
        <w:tc>
          <w:tcPr>
            <w:tcW w:w="8073" w:type="dxa"/>
            <w:tcBorders>
              <w:left w:val="nil"/>
            </w:tcBorders>
          </w:tcPr>
          <w:p w14:paraId="0E9B15FF" w14:textId="77777777" w:rsidR="00F93060" w:rsidRPr="00DF4080" w:rsidRDefault="00F93060" w:rsidP="005661B8">
            <w:pPr>
              <w:rPr>
                <w:sz w:val="12"/>
                <w:szCs w:val="12"/>
              </w:rPr>
            </w:pPr>
          </w:p>
        </w:tc>
      </w:tr>
      <w:tr w:rsidR="008C2A3F" w14:paraId="320F5EBE" w14:textId="77777777" w:rsidTr="009D3AEB">
        <w:trPr>
          <w:trHeight w:val="932"/>
        </w:trPr>
        <w:tc>
          <w:tcPr>
            <w:tcW w:w="2689" w:type="dxa"/>
          </w:tcPr>
          <w:p w14:paraId="2F6DA83B" w14:textId="77777777" w:rsidR="008C2A3F" w:rsidRPr="0064385C" w:rsidRDefault="008C2A3F" w:rsidP="008C2A3F">
            <w:pPr>
              <w:rPr>
                <w:b/>
              </w:rPr>
            </w:pPr>
            <w:r w:rsidRPr="0064385C">
              <w:rPr>
                <w:b/>
              </w:rPr>
              <w:t>Additional information</w:t>
            </w:r>
          </w:p>
        </w:tc>
        <w:tc>
          <w:tcPr>
            <w:tcW w:w="8073" w:type="dxa"/>
          </w:tcPr>
          <w:p w14:paraId="1CDBA9D7" w14:textId="77777777" w:rsidR="008C2A3F" w:rsidRDefault="003675CE" w:rsidP="008C2A3F">
            <w:r w:rsidRPr="003675CE">
              <w:t>If the patient is compliant with the medication but symptoms are not controlled, consider substitution with another class of medication or addition of a medication in a step wise approach.</w:t>
            </w:r>
          </w:p>
        </w:tc>
      </w:tr>
      <w:tr w:rsidR="008C2A3F" w14:paraId="027C6044" w14:textId="77777777" w:rsidTr="001162FE">
        <w:tc>
          <w:tcPr>
            <w:tcW w:w="2689" w:type="dxa"/>
          </w:tcPr>
          <w:p w14:paraId="12B27D5C" w14:textId="77777777" w:rsidR="008C2A3F" w:rsidRPr="009D3AEB" w:rsidRDefault="008C2A3F" w:rsidP="008C2A3F">
            <w:pPr>
              <w:rPr>
                <w:b/>
                <w:highlight w:val="yellow"/>
              </w:rPr>
            </w:pPr>
            <w:r w:rsidRPr="009D3AEB">
              <w:rPr>
                <w:b/>
              </w:rPr>
              <w:t>Follow-up</w:t>
            </w:r>
          </w:p>
        </w:tc>
        <w:tc>
          <w:tcPr>
            <w:tcW w:w="8073" w:type="dxa"/>
          </w:tcPr>
          <w:p w14:paraId="62200C15" w14:textId="188CD312" w:rsidR="008C2A3F" w:rsidRPr="00E56C8F" w:rsidRDefault="00F93060" w:rsidP="00DC4876">
            <w:r w:rsidRPr="00E56C8F">
              <w:t>If a patient with moderate to severe hay</w:t>
            </w:r>
            <w:r w:rsidR="00C31939" w:rsidRPr="00E56C8F">
              <w:t xml:space="preserve"> </w:t>
            </w:r>
            <w:r w:rsidRPr="00E56C8F">
              <w:t>fever fails to improve after four weeks of adequate treatment (nasal corticosteroids and oral antihistamines), patient compliance or th</w:t>
            </w:r>
            <w:r w:rsidR="00703430" w:rsidRPr="00E56C8F">
              <w:t>e diagnosis must be re-assessed and review with medical or nurse practitioner for ongoing management.</w:t>
            </w:r>
          </w:p>
        </w:tc>
      </w:tr>
      <w:tr w:rsidR="0070113B" w14:paraId="793A798A" w14:textId="77777777" w:rsidTr="001162FE">
        <w:tc>
          <w:tcPr>
            <w:tcW w:w="2689" w:type="dxa"/>
          </w:tcPr>
          <w:p w14:paraId="7885D3FC" w14:textId="77777777" w:rsidR="0070113B" w:rsidRPr="0064385C" w:rsidRDefault="0070113B" w:rsidP="0070113B">
            <w:pPr>
              <w:rPr>
                <w:b/>
              </w:rPr>
            </w:pPr>
            <w:r w:rsidRPr="0064385C">
              <w:rPr>
                <w:b/>
              </w:rPr>
              <w:t>Countersigning and auditing</w:t>
            </w:r>
          </w:p>
        </w:tc>
        <w:tc>
          <w:tcPr>
            <w:tcW w:w="8073" w:type="dxa"/>
          </w:tcPr>
          <w:p w14:paraId="41226F19" w14:textId="77777777" w:rsidR="0070113B" w:rsidRDefault="0070113B" w:rsidP="0070113B">
            <w:r>
              <w:t>Countersigning is not required. Audited monthly.</w:t>
            </w:r>
          </w:p>
          <w:p w14:paraId="610CE8EC" w14:textId="77777777" w:rsidR="0070113B" w:rsidRPr="0070113B" w:rsidRDefault="0070113B" w:rsidP="0070113B">
            <w:pPr>
              <w:rPr>
                <w:b/>
              </w:rPr>
            </w:pPr>
            <w:r w:rsidRPr="0070113B">
              <w:rPr>
                <w:b/>
              </w:rPr>
              <w:t xml:space="preserve">OR </w:t>
            </w:r>
          </w:p>
          <w:p w14:paraId="47509394" w14:textId="77777777" w:rsidR="0070113B" w:rsidRDefault="0070113B" w:rsidP="0070113B">
            <w:r>
              <w:t xml:space="preserve">Countersigning is required within </w:t>
            </w:r>
            <w:r w:rsidRPr="00070579">
              <w:rPr>
                <w:b/>
                <w:i/>
              </w:rPr>
              <w:t>XX</w:t>
            </w:r>
            <w:r>
              <w:t xml:space="preserve"> days</w:t>
            </w:r>
          </w:p>
        </w:tc>
      </w:tr>
      <w:tr w:rsidR="0070113B" w14:paraId="2A013A3C" w14:textId="77777777" w:rsidTr="001162FE">
        <w:tc>
          <w:tcPr>
            <w:tcW w:w="2689" w:type="dxa"/>
          </w:tcPr>
          <w:p w14:paraId="5355AF19" w14:textId="77777777" w:rsidR="0070113B" w:rsidRPr="0064385C" w:rsidRDefault="0070113B" w:rsidP="0070113B">
            <w:pPr>
              <w:rPr>
                <w:b/>
              </w:rPr>
            </w:pPr>
            <w:r w:rsidRPr="0064385C">
              <w:rPr>
                <w:b/>
              </w:rPr>
              <w:t>Competency/training requirements</w:t>
            </w:r>
          </w:p>
        </w:tc>
        <w:tc>
          <w:tcPr>
            <w:tcW w:w="8073" w:type="dxa"/>
          </w:tcPr>
          <w:p w14:paraId="192B379D" w14:textId="77777777" w:rsidR="0070113B" w:rsidRDefault="0070113B" w:rsidP="0070113B">
            <w:r>
              <w:t>All nurses working under this standing order must be signed off as competent to do so by the issuer and have had specific training in this standing order.</w:t>
            </w:r>
          </w:p>
        </w:tc>
      </w:tr>
      <w:tr w:rsidR="0070113B" w14:paraId="60E88C4E" w14:textId="77777777" w:rsidTr="001162FE">
        <w:tc>
          <w:tcPr>
            <w:tcW w:w="2689" w:type="dxa"/>
          </w:tcPr>
          <w:p w14:paraId="0C23CC1E" w14:textId="77777777" w:rsidR="0070113B" w:rsidRPr="0064385C" w:rsidRDefault="0070113B" w:rsidP="0070113B">
            <w:pPr>
              <w:rPr>
                <w:b/>
              </w:rPr>
            </w:pPr>
            <w:r w:rsidRPr="0064385C">
              <w:rPr>
                <w:b/>
              </w:rPr>
              <w:t>Supporting documentation</w:t>
            </w:r>
          </w:p>
        </w:tc>
        <w:tc>
          <w:tcPr>
            <w:tcW w:w="8073" w:type="dxa"/>
          </w:tcPr>
          <w:p w14:paraId="545A56D7" w14:textId="77777777" w:rsidR="00476AA6" w:rsidRDefault="00476AA6" w:rsidP="00476AA6">
            <w:r>
              <w:t xml:space="preserve">Healthpathways at </w:t>
            </w:r>
            <w:hyperlink r:id="rId8" w:history="1">
              <w:r w:rsidRPr="00254A91">
                <w:rPr>
                  <w:rStyle w:val="Hyperlink"/>
                </w:rPr>
                <w:t>www.healthpathways.org.nz</w:t>
              </w:r>
            </w:hyperlink>
            <w:r>
              <w:t xml:space="preserve"> </w:t>
            </w:r>
          </w:p>
          <w:p w14:paraId="28C25BEF" w14:textId="77777777" w:rsidR="00476AA6" w:rsidRDefault="00476AA6" w:rsidP="00476AA6">
            <w:r>
              <w:t xml:space="preserve">Best Practice Journal at </w:t>
            </w:r>
            <w:hyperlink r:id="rId9" w:history="1">
              <w:r w:rsidRPr="00254A91">
                <w:rPr>
                  <w:rStyle w:val="Hyperlink"/>
                </w:rPr>
                <w:t>www.bpac.org.nz</w:t>
              </w:r>
            </w:hyperlink>
            <w:r>
              <w:t xml:space="preserve"> </w:t>
            </w:r>
          </w:p>
          <w:p w14:paraId="434DB3E5" w14:textId="77777777" w:rsidR="00476AA6" w:rsidRDefault="00476AA6" w:rsidP="00476AA6">
            <w:r>
              <w:t xml:space="preserve">New Zealand Formulary at </w:t>
            </w:r>
            <w:hyperlink r:id="rId10" w:history="1">
              <w:r w:rsidRPr="00254A91">
                <w:rPr>
                  <w:rStyle w:val="Hyperlink"/>
                </w:rPr>
                <w:t>www.nzf.org.nz</w:t>
              </w:r>
            </w:hyperlink>
            <w:r>
              <w:t xml:space="preserve"> </w:t>
            </w:r>
          </w:p>
          <w:p w14:paraId="16FB2A64" w14:textId="77777777" w:rsidR="00476AA6" w:rsidRDefault="00476AA6" w:rsidP="00476AA6">
            <w:r>
              <w:t xml:space="preserve">Individual medicine data sheets at </w:t>
            </w:r>
            <w:hyperlink r:id="rId11" w:history="1">
              <w:r w:rsidRPr="00254A91">
                <w:rPr>
                  <w:rStyle w:val="Hyperlink"/>
                </w:rPr>
                <w:t>www.medsafe.govt.nz</w:t>
              </w:r>
            </w:hyperlink>
            <w:r>
              <w:t xml:space="preserve"> </w:t>
            </w:r>
          </w:p>
          <w:p w14:paraId="5915A9D8" w14:textId="77777777" w:rsidR="005216BC" w:rsidRDefault="00476AA6" w:rsidP="0070113B">
            <w:r>
              <w:t>Standing Order Guidelines, Ministry of Health, 2012</w:t>
            </w:r>
          </w:p>
          <w:p w14:paraId="3C95FBC5" w14:textId="69C4C4D7" w:rsidR="00A117A2" w:rsidRDefault="00A117A2" w:rsidP="0070113B">
            <w:r>
              <w:t>Medicines (Standing Order) Regulations 2012 (Standing Order Regulations)</w:t>
            </w:r>
          </w:p>
        </w:tc>
      </w:tr>
      <w:tr w:rsidR="0070113B" w14:paraId="373F0A17" w14:textId="77777777" w:rsidTr="001162FE">
        <w:tc>
          <w:tcPr>
            <w:tcW w:w="2689" w:type="dxa"/>
          </w:tcPr>
          <w:p w14:paraId="545B8113" w14:textId="77777777" w:rsidR="0070113B" w:rsidRPr="0064385C" w:rsidRDefault="0070113B" w:rsidP="0070113B">
            <w:pPr>
              <w:rPr>
                <w:b/>
              </w:rPr>
            </w:pPr>
            <w:r w:rsidRPr="0064385C">
              <w:rPr>
                <w:b/>
              </w:rPr>
              <w:t>Definition of terms used in standing order</w:t>
            </w:r>
          </w:p>
        </w:tc>
        <w:tc>
          <w:tcPr>
            <w:tcW w:w="8073" w:type="dxa"/>
          </w:tcPr>
          <w:p w14:paraId="55738F97" w14:textId="77777777" w:rsidR="00077EC3" w:rsidRDefault="00077EC3" w:rsidP="00077EC3">
            <w:r w:rsidRPr="00077EC3">
              <w:rPr>
                <w:u w:val="single"/>
              </w:rPr>
              <w:t>Seasonal allergic rhinitis</w:t>
            </w:r>
            <w:r>
              <w:t xml:space="preserve"> – associated with spring and early summer, triggered by pollen (outdoor allergens)</w:t>
            </w:r>
          </w:p>
          <w:p w14:paraId="4D587DF4" w14:textId="77777777" w:rsidR="00077EC3" w:rsidRDefault="00077EC3" w:rsidP="00077EC3">
            <w:r w:rsidRPr="00077EC3">
              <w:rPr>
                <w:u w:val="single"/>
              </w:rPr>
              <w:t>Perennial allergic rhinitis</w:t>
            </w:r>
            <w:r>
              <w:t xml:space="preserve"> – symptoms all year round, triggered by house dust mite, pets and mould (indoor allergens)</w:t>
            </w:r>
          </w:p>
          <w:p w14:paraId="56E4DB45" w14:textId="77777777" w:rsidR="00077EC3" w:rsidRDefault="00077EC3" w:rsidP="00077EC3">
            <w:r w:rsidRPr="00077EC3">
              <w:rPr>
                <w:u w:val="single"/>
              </w:rPr>
              <w:t>Occupational rhinitis</w:t>
            </w:r>
            <w:r>
              <w:t xml:space="preserve"> – symptoms worsened at work, triggered by chemicals, irritants and dust</w:t>
            </w:r>
          </w:p>
          <w:p w14:paraId="24BCD9E8" w14:textId="77777777" w:rsidR="0070113B" w:rsidRDefault="00077EC3" w:rsidP="00077EC3">
            <w:r w:rsidRPr="00077EC3">
              <w:rPr>
                <w:u w:val="single"/>
              </w:rPr>
              <w:t>Non-allergic rhinitis</w:t>
            </w:r>
            <w:r>
              <w:t xml:space="preserve"> – triggered by strong smells, change in temperature, viral infections, pregnancy, hypothyroidism </w:t>
            </w:r>
            <w:r w:rsidR="00EF4CBE">
              <w:t xml:space="preserve">or rarely medications e.g. some </w:t>
            </w:r>
            <w:r>
              <w:t>antihypertensives</w:t>
            </w:r>
          </w:p>
          <w:p w14:paraId="2CB06E7B" w14:textId="700923B9" w:rsidR="00DF4080" w:rsidRDefault="00DF4080" w:rsidP="00DF4080">
            <w:r w:rsidRPr="00DF4080">
              <w:rPr>
                <w:u w:val="single"/>
              </w:rPr>
              <w:lastRenderedPageBreak/>
              <w:t>Category B1</w:t>
            </w:r>
            <w:r>
              <w:t xml:space="preserve"> -Drugs which have been taken by only a limited number of pregnant women and women of childbearing age, without an increase in the frequency of malformation or other direct or indirect harmful effects on the human </w:t>
            </w:r>
            <w:r w:rsidR="00EF4CBE">
              <w:t>foetus</w:t>
            </w:r>
            <w:r>
              <w:t xml:space="preserve"> having been observed. Studies in animals have not shown evidence of an increased occurrence of </w:t>
            </w:r>
            <w:r w:rsidR="007F402E">
              <w:t>foetal</w:t>
            </w:r>
            <w:r>
              <w:t xml:space="preserve"> damage.</w:t>
            </w:r>
          </w:p>
          <w:p w14:paraId="7C006C13" w14:textId="0F07A97F" w:rsidR="005661B8" w:rsidRDefault="005661B8" w:rsidP="005661B8">
            <w:r w:rsidRPr="005661B8">
              <w:rPr>
                <w:u w:val="single"/>
              </w:rPr>
              <w:t>Category B3</w:t>
            </w:r>
            <w:r>
              <w:t xml:space="preserve"> -Drugs which have been taken by only a limited number of pregnant women and women of childbearing age, without an increase in the frequency of malformation or other direct or indirect harmful effects on the human foetus having been observed. Studies in animals have shown evidence of an increased occurrence of foetal damage, the significance of which is considered uncertain in humans.</w:t>
            </w:r>
          </w:p>
        </w:tc>
      </w:tr>
    </w:tbl>
    <w:p w14:paraId="0872F17F" w14:textId="77777777" w:rsidR="001162FE" w:rsidRDefault="001162FE"/>
    <w:p w14:paraId="3CA74025" w14:textId="77777777" w:rsidR="008C2A3F" w:rsidRDefault="008C2A3F"/>
    <w:tbl>
      <w:tblPr>
        <w:tblStyle w:val="TableGrid"/>
        <w:tblW w:w="0" w:type="auto"/>
        <w:tblLook w:val="04A0" w:firstRow="1" w:lastRow="0" w:firstColumn="1" w:lastColumn="0" w:noHBand="0" w:noVBand="1"/>
      </w:tblPr>
      <w:tblGrid>
        <w:gridCol w:w="2689"/>
        <w:gridCol w:w="8073"/>
      </w:tblGrid>
      <w:tr w:rsidR="008C2A3F" w14:paraId="76E3E7C0" w14:textId="77777777" w:rsidTr="005661B8">
        <w:tc>
          <w:tcPr>
            <w:tcW w:w="2689" w:type="dxa"/>
          </w:tcPr>
          <w:p w14:paraId="7754AF51" w14:textId="77777777" w:rsidR="008C2A3F" w:rsidRPr="0064385C" w:rsidRDefault="008C2A3F" w:rsidP="005661B8">
            <w:pPr>
              <w:rPr>
                <w:b/>
              </w:rPr>
            </w:pPr>
            <w:r w:rsidRPr="0064385C">
              <w:rPr>
                <w:b/>
              </w:rPr>
              <w:t>Medical Centre or Clinic</w:t>
            </w:r>
            <w:r w:rsidR="0064385C" w:rsidRPr="0064385C">
              <w:rPr>
                <w:b/>
              </w:rPr>
              <w:t>:</w:t>
            </w:r>
          </w:p>
        </w:tc>
        <w:tc>
          <w:tcPr>
            <w:tcW w:w="8073" w:type="dxa"/>
          </w:tcPr>
          <w:p w14:paraId="06D6BB81" w14:textId="77777777" w:rsidR="008C2A3F" w:rsidRDefault="008C2A3F" w:rsidP="005661B8"/>
        </w:tc>
      </w:tr>
    </w:tbl>
    <w:p w14:paraId="203EB12E" w14:textId="77777777" w:rsidR="001162FE" w:rsidRDefault="001162FE"/>
    <w:tbl>
      <w:tblPr>
        <w:tblStyle w:val="TableGrid"/>
        <w:tblW w:w="0" w:type="auto"/>
        <w:tblLook w:val="04A0" w:firstRow="1" w:lastRow="0" w:firstColumn="1" w:lastColumn="0" w:noHBand="0" w:noVBand="1"/>
      </w:tblPr>
      <w:tblGrid>
        <w:gridCol w:w="2122"/>
      </w:tblGrid>
      <w:tr w:rsidR="001162FE" w14:paraId="04969DDF" w14:textId="77777777" w:rsidTr="00877CF2">
        <w:tc>
          <w:tcPr>
            <w:tcW w:w="2122" w:type="dxa"/>
          </w:tcPr>
          <w:p w14:paraId="201FF214" w14:textId="77777777" w:rsidR="001162FE" w:rsidRPr="0064385C" w:rsidRDefault="00877CF2">
            <w:pPr>
              <w:rPr>
                <w:b/>
              </w:rPr>
            </w:pPr>
            <w:r w:rsidRPr="0064385C">
              <w:rPr>
                <w:b/>
              </w:rPr>
              <w:t>Signed by issuers</w:t>
            </w:r>
          </w:p>
        </w:tc>
      </w:tr>
    </w:tbl>
    <w:p w14:paraId="213314C2" w14:textId="77777777" w:rsidR="001162FE" w:rsidRDefault="001162FE"/>
    <w:p w14:paraId="3FB0186A" w14:textId="77777777" w:rsidR="001162FE" w:rsidRDefault="001162FE">
      <w:r>
        <w:t>Name:</w:t>
      </w:r>
      <w:r>
        <w:tab/>
        <w:t>____________________________</w:t>
      </w:r>
      <w:r>
        <w:tab/>
      </w:r>
      <w:r>
        <w:tab/>
        <w:t>Signature: __________________________</w:t>
      </w:r>
    </w:p>
    <w:p w14:paraId="61A56E5A"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14:paraId="3D088480" w14:textId="77777777" w:rsidTr="0064385C">
        <w:trPr>
          <w:trHeight w:val="123"/>
        </w:trPr>
        <w:tc>
          <w:tcPr>
            <w:tcW w:w="4531" w:type="dxa"/>
          </w:tcPr>
          <w:p w14:paraId="2287565A" w14:textId="77777777" w:rsidR="001162FE" w:rsidRPr="0064385C" w:rsidRDefault="001162FE">
            <w:pPr>
              <w:rPr>
                <w:b/>
              </w:rPr>
            </w:pPr>
            <w:r w:rsidRPr="0064385C">
              <w:rPr>
                <w:b/>
              </w:rPr>
              <w:t>Nurses operating under this standing order</w:t>
            </w:r>
          </w:p>
        </w:tc>
      </w:tr>
    </w:tbl>
    <w:p w14:paraId="0ACFF91F" w14:textId="77777777" w:rsidR="001162FE" w:rsidRDefault="001162FE"/>
    <w:p w14:paraId="6794CCD6" w14:textId="77777777" w:rsidR="0064385C" w:rsidRDefault="0064385C" w:rsidP="0064385C">
      <w:r>
        <w:t xml:space="preserve">Only Registered nurses working within the above medical centre or clinic are authorised to administer medication under this standing order. </w:t>
      </w:r>
    </w:p>
    <w:p w14:paraId="52831EE2" w14:textId="77777777" w:rsidR="001162FE" w:rsidRDefault="001162FE">
      <w:r>
        <w:t>We the undersigned agree that we have read, understood and will comply with this standing order and all associated documents.</w:t>
      </w:r>
    </w:p>
    <w:p w14:paraId="0B44A895" w14:textId="77777777" w:rsidR="001162FE" w:rsidRDefault="001162FE"/>
    <w:p w14:paraId="640425DB" w14:textId="77777777" w:rsidR="001162FE" w:rsidRDefault="001162FE">
      <w:r>
        <w:t>Name: ______________________   Signature: __________________________  Date: ______________</w:t>
      </w:r>
    </w:p>
    <w:p w14:paraId="0E2D3893" w14:textId="77777777" w:rsidR="001162FE" w:rsidRDefault="001162FE" w:rsidP="001162FE">
      <w:r>
        <w:t>Name: ______________________   Signature: __________________________  Date: ______________</w:t>
      </w:r>
    </w:p>
    <w:p w14:paraId="77E01619" w14:textId="77777777" w:rsidR="001162FE" w:rsidRDefault="001162FE" w:rsidP="001162FE">
      <w:r>
        <w:t>Name: ______________________   Signature: __________________________  Date: ______________</w:t>
      </w:r>
    </w:p>
    <w:p w14:paraId="6ABCADD9" w14:textId="77777777" w:rsidR="001162FE" w:rsidRDefault="001162FE" w:rsidP="001162FE">
      <w:r>
        <w:t>Name: ______________________   Signature: __________________________  Date: ______________</w:t>
      </w:r>
    </w:p>
    <w:p w14:paraId="636645E8" w14:textId="77777777" w:rsidR="001162FE" w:rsidRDefault="001162FE"/>
    <w:sectPr w:rsidR="001162FE" w:rsidSect="00D270A8">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761E" w14:textId="77777777" w:rsidR="00E56C8F" w:rsidRDefault="00E56C8F" w:rsidP="001A55AE">
      <w:pPr>
        <w:spacing w:after="0" w:line="240" w:lineRule="auto"/>
      </w:pPr>
      <w:r>
        <w:separator/>
      </w:r>
    </w:p>
  </w:endnote>
  <w:endnote w:type="continuationSeparator" w:id="0">
    <w:p w14:paraId="70A03EC4" w14:textId="77777777" w:rsidR="00E56C8F" w:rsidRDefault="00E56C8F" w:rsidP="001A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D22C" w14:textId="77777777" w:rsidR="00E56C8F" w:rsidRDefault="00E56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1D0E" w14:textId="3E8306DF" w:rsidR="00E56C8F" w:rsidRDefault="00E56C8F">
    <w:pPr>
      <w:pStyle w:val="Footer"/>
    </w:pPr>
    <w:r>
      <w:t>Hayfever Standing Order</w:t>
    </w:r>
    <w:r>
      <w:tab/>
      <w:t>October 2015</w:t>
    </w:r>
    <w:r>
      <w:tab/>
      <w:t>WellSouth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97B8" w14:textId="77777777" w:rsidR="00E56C8F" w:rsidRDefault="00E56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616C" w14:textId="77777777" w:rsidR="00E56C8F" w:rsidRDefault="00E56C8F" w:rsidP="001A55AE">
      <w:pPr>
        <w:spacing w:after="0" w:line="240" w:lineRule="auto"/>
      </w:pPr>
      <w:r>
        <w:separator/>
      </w:r>
    </w:p>
  </w:footnote>
  <w:footnote w:type="continuationSeparator" w:id="0">
    <w:p w14:paraId="3E8302E8" w14:textId="77777777" w:rsidR="00E56C8F" w:rsidRDefault="00E56C8F" w:rsidP="001A5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DB71" w14:textId="77777777" w:rsidR="00E56C8F" w:rsidRDefault="00E56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C0E3" w14:textId="77777777" w:rsidR="00E56C8F" w:rsidRDefault="00E56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2107" w14:textId="77777777" w:rsidR="00E56C8F" w:rsidRDefault="00E56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3705"/>
    <w:multiLevelType w:val="hybridMultilevel"/>
    <w:tmpl w:val="E1984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3858C6"/>
    <w:multiLevelType w:val="hybridMultilevel"/>
    <w:tmpl w:val="D396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3D18CA"/>
    <w:multiLevelType w:val="multilevel"/>
    <w:tmpl w:val="7EF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628C4"/>
    <w:multiLevelType w:val="hybridMultilevel"/>
    <w:tmpl w:val="671C1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4D727FD"/>
    <w:multiLevelType w:val="hybridMultilevel"/>
    <w:tmpl w:val="C4161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FE006C5"/>
    <w:multiLevelType w:val="hybridMultilevel"/>
    <w:tmpl w:val="B1766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77EC3"/>
    <w:rsid w:val="000D2E7E"/>
    <w:rsid w:val="000E47A6"/>
    <w:rsid w:val="001162FE"/>
    <w:rsid w:val="00123A68"/>
    <w:rsid w:val="00192B86"/>
    <w:rsid w:val="001A55AE"/>
    <w:rsid w:val="002A4F5D"/>
    <w:rsid w:val="003675CE"/>
    <w:rsid w:val="00476AA6"/>
    <w:rsid w:val="005216BC"/>
    <w:rsid w:val="005661B8"/>
    <w:rsid w:val="005B5268"/>
    <w:rsid w:val="0064385C"/>
    <w:rsid w:val="0070113B"/>
    <w:rsid w:val="00703430"/>
    <w:rsid w:val="007F402E"/>
    <w:rsid w:val="00853012"/>
    <w:rsid w:val="00877CF2"/>
    <w:rsid w:val="008C2A3F"/>
    <w:rsid w:val="008D7BEE"/>
    <w:rsid w:val="009D3AEB"/>
    <w:rsid w:val="00A117A2"/>
    <w:rsid w:val="00A52B66"/>
    <w:rsid w:val="00B347CA"/>
    <w:rsid w:val="00C31939"/>
    <w:rsid w:val="00D270A8"/>
    <w:rsid w:val="00D31372"/>
    <w:rsid w:val="00DC4876"/>
    <w:rsid w:val="00DF4074"/>
    <w:rsid w:val="00DF4080"/>
    <w:rsid w:val="00E56C8F"/>
    <w:rsid w:val="00EF4CBE"/>
    <w:rsid w:val="00F93060"/>
    <w:rsid w:val="00FD76A9"/>
    <w:rsid w:val="00FE07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BFC4"/>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Header">
    <w:name w:val="header"/>
    <w:basedOn w:val="Normal"/>
    <w:link w:val="HeaderChar"/>
    <w:uiPriority w:val="99"/>
    <w:unhideWhenUsed/>
    <w:rsid w:val="001A5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5AE"/>
  </w:style>
  <w:style w:type="paragraph" w:styleId="Footer">
    <w:name w:val="footer"/>
    <w:basedOn w:val="Normal"/>
    <w:link w:val="FooterChar"/>
    <w:uiPriority w:val="99"/>
    <w:unhideWhenUsed/>
    <w:rsid w:val="001A5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AE"/>
  </w:style>
  <w:style w:type="paragraph" w:styleId="ListParagraph">
    <w:name w:val="List Paragraph"/>
    <w:basedOn w:val="Normal"/>
    <w:uiPriority w:val="34"/>
    <w:qFormat/>
    <w:rsid w:val="00DC4876"/>
    <w:pPr>
      <w:ind w:left="720"/>
      <w:contextualSpacing/>
    </w:pPr>
  </w:style>
  <w:style w:type="character" w:styleId="CommentReference">
    <w:name w:val="annotation reference"/>
    <w:basedOn w:val="DefaultParagraphFont"/>
    <w:uiPriority w:val="99"/>
    <w:semiHidden/>
    <w:unhideWhenUsed/>
    <w:rsid w:val="00FD76A9"/>
    <w:rPr>
      <w:sz w:val="16"/>
      <w:szCs w:val="16"/>
    </w:rPr>
  </w:style>
  <w:style w:type="paragraph" w:styleId="CommentText">
    <w:name w:val="annotation text"/>
    <w:basedOn w:val="Normal"/>
    <w:link w:val="CommentTextChar"/>
    <w:uiPriority w:val="99"/>
    <w:semiHidden/>
    <w:unhideWhenUsed/>
    <w:rsid w:val="00FD76A9"/>
    <w:pPr>
      <w:spacing w:line="240" w:lineRule="auto"/>
    </w:pPr>
    <w:rPr>
      <w:sz w:val="20"/>
      <w:szCs w:val="20"/>
    </w:rPr>
  </w:style>
  <w:style w:type="character" w:customStyle="1" w:styleId="CommentTextChar">
    <w:name w:val="Comment Text Char"/>
    <w:basedOn w:val="DefaultParagraphFont"/>
    <w:link w:val="CommentText"/>
    <w:uiPriority w:val="99"/>
    <w:semiHidden/>
    <w:rsid w:val="00FD76A9"/>
    <w:rPr>
      <w:sz w:val="20"/>
      <w:szCs w:val="20"/>
    </w:rPr>
  </w:style>
  <w:style w:type="paragraph" w:styleId="CommentSubject">
    <w:name w:val="annotation subject"/>
    <w:basedOn w:val="CommentText"/>
    <w:next w:val="CommentText"/>
    <w:link w:val="CommentSubjectChar"/>
    <w:uiPriority w:val="99"/>
    <w:semiHidden/>
    <w:unhideWhenUsed/>
    <w:rsid w:val="00FD76A9"/>
    <w:rPr>
      <w:b/>
      <w:bCs/>
    </w:rPr>
  </w:style>
  <w:style w:type="character" w:customStyle="1" w:styleId="CommentSubjectChar">
    <w:name w:val="Comment Subject Char"/>
    <w:basedOn w:val="CommentTextChar"/>
    <w:link w:val="CommentSubject"/>
    <w:uiPriority w:val="99"/>
    <w:semiHidden/>
    <w:rsid w:val="00FD76A9"/>
    <w:rPr>
      <w:b/>
      <w:bCs/>
      <w:sz w:val="20"/>
      <w:szCs w:val="20"/>
    </w:rPr>
  </w:style>
  <w:style w:type="paragraph" w:styleId="BalloonText">
    <w:name w:val="Balloon Text"/>
    <w:basedOn w:val="Normal"/>
    <w:link w:val="BalloonTextChar"/>
    <w:uiPriority w:val="99"/>
    <w:semiHidden/>
    <w:unhideWhenUsed/>
    <w:rsid w:val="00FD7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A9"/>
    <w:rPr>
      <w:rFonts w:ascii="Segoe UI" w:hAnsi="Segoe UI" w:cs="Segoe UI"/>
      <w:sz w:val="18"/>
      <w:szCs w:val="18"/>
    </w:rPr>
  </w:style>
  <w:style w:type="paragraph" w:styleId="Revision">
    <w:name w:val="Revision"/>
    <w:hidden/>
    <w:uiPriority w:val="99"/>
    <w:semiHidden/>
    <w:rsid w:val="00E56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00000">
      <w:bodyDiv w:val="1"/>
      <w:marLeft w:val="0"/>
      <w:marRight w:val="0"/>
      <w:marTop w:val="0"/>
      <w:marBottom w:val="0"/>
      <w:divBdr>
        <w:top w:val="none" w:sz="0" w:space="0" w:color="auto"/>
        <w:left w:val="none" w:sz="0" w:space="0" w:color="auto"/>
        <w:bottom w:val="none" w:sz="0" w:space="0" w:color="auto"/>
        <w:right w:val="none" w:sz="0" w:space="0" w:color="auto"/>
      </w:divBdr>
      <w:divsChild>
        <w:div w:id="222958506">
          <w:marLeft w:val="0"/>
          <w:marRight w:val="0"/>
          <w:marTop w:val="0"/>
          <w:marBottom w:val="0"/>
          <w:divBdr>
            <w:top w:val="none" w:sz="0" w:space="0" w:color="auto"/>
            <w:left w:val="none" w:sz="0" w:space="0" w:color="auto"/>
            <w:bottom w:val="none" w:sz="0" w:space="0" w:color="auto"/>
            <w:right w:val="none" w:sz="0" w:space="0" w:color="auto"/>
          </w:divBdr>
          <w:divsChild>
            <w:div w:id="39746022">
              <w:marLeft w:val="0"/>
              <w:marRight w:val="0"/>
              <w:marTop w:val="0"/>
              <w:marBottom w:val="0"/>
              <w:divBdr>
                <w:top w:val="none" w:sz="0" w:space="0" w:color="auto"/>
                <w:left w:val="none" w:sz="0" w:space="0" w:color="auto"/>
                <w:bottom w:val="single" w:sz="6" w:space="0" w:color="CCCCCC"/>
                <w:right w:val="none" w:sz="0" w:space="0" w:color="auto"/>
              </w:divBdr>
              <w:divsChild>
                <w:div w:id="1568612654">
                  <w:marLeft w:val="0"/>
                  <w:marRight w:val="0"/>
                  <w:marTop w:val="0"/>
                  <w:marBottom w:val="0"/>
                  <w:divBdr>
                    <w:top w:val="none" w:sz="0" w:space="0" w:color="auto"/>
                    <w:left w:val="none" w:sz="0" w:space="0" w:color="auto"/>
                    <w:bottom w:val="none" w:sz="0" w:space="0" w:color="auto"/>
                    <w:right w:val="none" w:sz="0" w:space="0" w:color="auto"/>
                  </w:divBdr>
                  <w:divsChild>
                    <w:div w:id="709382152">
                      <w:marLeft w:val="0"/>
                      <w:marRight w:val="0"/>
                      <w:marTop w:val="0"/>
                      <w:marBottom w:val="0"/>
                      <w:divBdr>
                        <w:top w:val="none" w:sz="0" w:space="0" w:color="auto"/>
                        <w:left w:val="none" w:sz="0" w:space="0" w:color="auto"/>
                        <w:bottom w:val="none" w:sz="0" w:space="0" w:color="auto"/>
                        <w:right w:val="none" w:sz="0" w:space="0" w:color="auto"/>
                      </w:divBdr>
                      <w:divsChild>
                        <w:div w:id="1796873226">
                          <w:marLeft w:val="0"/>
                          <w:marRight w:val="0"/>
                          <w:marTop w:val="0"/>
                          <w:marBottom w:val="0"/>
                          <w:divBdr>
                            <w:top w:val="none" w:sz="0" w:space="0" w:color="auto"/>
                            <w:left w:val="none" w:sz="0" w:space="0" w:color="auto"/>
                            <w:bottom w:val="none" w:sz="0" w:space="0" w:color="auto"/>
                            <w:right w:val="none" w:sz="0" w:space="0" w:color="auto"/>
                          </w:divBdr>
                          <w:divsChild>
                            <w:div w:id="1151288828">
                              <w:marLeft w:val="0"/>
                              <w:marRight w:val="0"/>
                              <w:marTop w:val="0"/>
                              <w:marBottom w:val="0"/>
                              <w:divBdr>
                                <w:top w:val="none" w:sz="0" w:space="0" w:color="auto"/>
                                <w:left w:val="none" w:sz="0" w:space="0" w:color="auto"/>
                                <w:bottom w:val="none" w:sz="0" w:space="0" w:color="auto"/>
                                <w:right w:val="none" w:sz="0" w:space="0" w:color="auto"/>
                              </w:divBdr>
                              <w:divsChild>
                                <w:div w:id="988556907">
                                  <w:marLeft w:val="0"/>
                                  <w:marRight w:val="0"/>
                                  <w:marTop w:val="0"/>
                                  <w:marBottom w:val="0"/>
                                  <w:divBdr>
                                    <w:top w:val="none" w:sz="0" w:space="0" w:color="auto"/>
                                    <w:left w:val="none" w:sz="0" w:space="0" w:color="auto"/>
                                    <w:bottom w:val="none" w:sz="0" w:space="0" w:color="auto"/>
                                    <w:right w:val="none" w:sz="0" w:space="0" w:color="auto"/>
                                  </w:divBdr>
                                  <w:divsChild>
                                    <w:div w:id="1935746672">
                                      <w:marLeft w:val="0"/>
                                      <w:marRight w:val="0"/>
                                      <w:marTop w:val="240"/>
                                      <w:marBottom w:val="240"/>
                                      <w:divBdr>
                                        <w:top w:val="none" w:sz="0" w:space="0" w:color="auto"/>
                                        <w:left w:val="none" w:sz="0" w:space="0" w:color="auto"/>
                                        <w:bottom w:val="none" w:sz="0" w:space="0" w:color="auto"/>
                                        <w:right w:val="none" w:sz="0" w:space="0" w:color="auto"/>
                                      </w:divBdr>
                                      <w:divsChild>
                                        <w:div w:id="15437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athways.org.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safe.govt.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zf.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pac.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96D46C49</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2</cp:revision>
  <dcterms:created xsi:type="dcterms:W3CDTF">2015-12-10T01:03:00Z</dcterms:created>
  <dcterms:modified xsi:type="dcterms:W3CDTF">2015-12-10T01:03:00Z</dcterms:modified>
</cp:coreProperties>
</file>