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B2130" w14:textId="04D8A234" w:rsidR="00853012" w:rsidRPr="001162FE" w:rsidRDefault="00123A68" w:rsidP="001162FE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23A68">
        <w:rPr>
          <w:noProof/>
          <w:lang w:eastAsia="en-NZ"/>
        </w:rPr>
        <w:drawing>
          <wp:inline distT="0" distB="0" distL="0" distR="0" wp14:anchorId="5298E546" wp14:editId="4EA09707">
            <wp:extent cx="1866900" cy="622184"/>
            <wp:effectExtent l="0" t="0" r="0" b="6985"/>
            <wp:docPr id="2" name="Picture 2" descr="L:\WellSouth Stationery\Logos\Colour\WS_logo_horizontal\Wellsouth_horizontal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WellSouth Stationery\Logos\Colour\WS_logo_horizontal\Wellsouth_horizontal_hig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400" cy="643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</w:t>
      </w:r>
      <w:proofErr w:type="gramStart"/>
      <w:r w:rsidR="00B92B28">
        <w:rPr>
          <w:b/>
          <w:sz w:val="28"/>
          <w:szCs w:val="28"/>
        </w:rPr>
        <w:t>Non Funded</w:t>
      </w:r>
      <w:proofErr w:type="gramEnd"/>
      <w:r>
        <w:rPr>
          <w:b/>
          <w:sz w:val="28"/>
          <w:szCs w:val="28"/>
        </w:rPr>
        <w:t xml:space="preserve"> </w:t>
      </w:r>
      <w:r w:rsidR="00AC5FCD">
        <w:rPr>
          <w:b/>
          <w:sz w:val="28"/>
          <w:szCs w:val="28"/>
          <w:lang w:val="en"/>
        </w:rPr>
        <w:t>Pneumococcal Vaccination</w:t>
      </w:r>
      <w:r w:rsidR="009C57C0">
        <w:rPr>
          <w:b/>
          <w:sz w:val="28"/>
          <w:szCs w:val="28"/>
          <w:lang w:val="en"/>
        </w:rPr>
        <w:t xml:space="preserve"> </w:t>
      </w:r>
      <w:r w:rsidR="001162FE" w:rsidRPr="001162FE">
        <w:rPr>
          <w:b/>
          <w:sz w:val="28"/>
          <w:szCs w:val="28"/>
        </w:rPr>
        <w:t>Standing Order</w:t>
      </w:r>
      <w:r w:rsidRPr="00123A6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984"/>
        <w:gridCol w:w="1843"/>
        <w:gridCol w:w="2268"/>
      </w:tblGrid>
      <w:tr w:rsidR="001162FE" w14:paraId="382E0808" w14:textId="77777777" w:rsidTr="00877CF2">
        <w:trPr>
          <w:jc w:val="center"/>
        </w:trPr>
        <w:tc>
          <w:tcPr>
            <w:tcW w:w="1555" w:type="dxa"/>
          </w:tcPr>
          <w:p w14:paraId="26352BA5" w14:textId="77777777" w:rsidR="001162FE" w:rsidRPr="006B314A" w:rsidRDefault="001162FE">
            <w:pPr>
              <w:rPr>
                <w:b/>
              </w:rPr>
            </w:pPr>
            <w:r w:rsidRPr="006B314A">
              <w:rPr>
                <w:b/>
              </w:rPr>
              <w:t>Issue date:</w:t>
            </w:r>
          </w:p>
        </w:tc>
        <w:tc>
          <w:tcPr>
            <w:tcW w:w="1984" w:type="dxa"/>
          </w:tcPr>
          <w:p w14:paraId="60D8207F" w14:textId="77777777" w:rsidR="001162FE" w:rsidRDefault="001162FE"/>
        </w:tc>
        <w:tc>
          <w:tcPr>
            <w:tcW w:w="1843" w:type="dxa"/>
          </w:tcPr>
          <w:p w14:paraId="5E6393E2" w14:textId="77777777" w:rsidR="001162FE" w:rsidRPr="006B314A" w:rsidRDefault="001162FE">
            <w:pPr>
              <w:rPr>
                <w:b/>
              </w:rPr>
            </w:pPr>
            <w:r w:rsidRPr="006B314A">
              <w:rPr>
                <w:b/>
              </w:rPr>
              <w:t>Review date:</w:t>
            </w:r>
          </w:p>
        </w:tc>
        <w:tc>
          <w:tcPr>
            <w:tcW w:w="2268" w:type="dxa"/>
          </w:tcPr>
          <w:p w14:paraId="2D2D2696" w14:textId="77777777" w:rsidR="001162FE" w:rsidRDefault="001162FE"/>
        </w:tc>
      </w:tr>
    </w:tbl>
    <w:p w14:paraId="58F6F5F1" w14:textId="77777777" w:rsidR="001162FE" w:rsidRDefault="001162FE"/>
    <w:p w14:paraId="154612FE" w14:textId="77777777" w:rsidR="001162FE" w:rsidRDefault="001162FE">
      <w:r>
        <w:t>This standing order is not valid after the review date.</w:t>
      </w:r>
      <w:r w:rsidR="00877CF2">
        <w:t xml:space="preserve"> The review date is one year after the date the order was signed by the issuer.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8215"/>
      </w:tblGrid>
      <w:tr w:rsidR="001162FE" w14:paraId="67D86D89" w14:textId="77777777" w:rsidTr="003E326A">
        <w:tc>
          <w:tcPr>
            <w:tcW w:w="2547" w:type="dxa"/>
          </w:tcPr>
          <w:p w14:paraId="3C535817" w14:textId="77777777" w:rsidR="001162FE" w:rsidRPr="00325E8A" w:rsidRDefault="00877CF2">
            <w:pPr>
              <w:rPr>
                <w:b/>
              </w:rPr>
            </w:pPr>
            <w:r w:rsidRPr="00325E8A">
              <w:rPr>
                <w:b/>
              </w:rPr>
              <w:t>Standing Order Name</w:t>
            </w:r>
          </w:p>
        </w:tc>
        <w:tc>
          <w:tcPr>
            <w:tcW w:w="8215" w:type="dxa"/>
          </w:tcPr>
          <w:p w14:paraId="64673E93" w14:textId="147C0C3B" w:rsidR="001162FE" w:rsidRPr="008940C2" w:rsidRDefault="00B92B28">
            <w:proofErr w:type="gramStart"/>
            <w:r>
              <w:rPr>
                <w:rFonts w:ascii="Calibri" w:hAnsi="Calibri"/>
                <w:lang w:val="en"/>
              </w:rPr>
              <w:t>Non Funded</w:t>
            </w:r>
            <w:proofErr w:type="gramEnd"/>
            <w:r w:rsidR="008A52AD">
              <w:rPr>
                <w:rFonts w:ascii="Calibri" w:hAnsi="Calibri"/>
                <w:lang w:val="en"/>
              </w:rPr>
              <w:t xml:space="preserve"> </w:t>
            </w:r>
            <w:r w:rsidR="00AC5FCD">
              <w:rPr>
                <w:rFonts w:ascii="Calibri" w:hAnsi="Calibri"/>
                <w:lang w:val="en"/>
              </w:rPr>
              <w:t xml:space="preserve">Pneumococcal </w:t>
            </w:r>
            <w:r w:rsidR="008A52AD">
              <w:rPr>
                <w:rFonts w:ascii="Calibri" w:hAnsi="Calibri"/>
                <w:lang w:val="en"/>
              </w:rPr>
              <w:t>V</w:t>
            </w:r>
            <w:r w:rsidR="00AC5FCD">
              <w:rPr>
                <w:rFonts w:ascii="Calibri" w:hAnsi="Calibri"/>
                <w:lang w:val="en"/>
              </w:rPr>
              <w:t>accination</w:t>
            </w:r>
          </w:p>
        </w:tc>
      </w:tr>
      <w:tr w:rsidR="001162FE" w14:paraId="033400EC" w14:textId="77777777" w:rsidTr="003E326A">
        <w:tc>
          <w:tcPr>
            <w:tcW w:w="2547" w:type="dxa"/>
          </w:tcPr>
          <w:p w14:paraId="74EEFC54" w14:textId="77777777" w:rsidR="001162FE" w:rsidRPr="00325E8A" w:rsidRDefault="00877CF2">
            <w:pPr>
              <w:rPr>
                <w:b/>
              </w:rPr>
            </w:pPr>
            <w:r w:rsidRPr="00325E8A">
              <w:rPr>
                <w:b/>
              </w:rPr>
              <w:t>Rationale</w:t>
            </w:r>
          </w:p>
        </w:tc>
        <w:tc>
          <w:tcPr>
            <w:tcW w:w="8215" w:type="dxa"/>
          </w:tcPr>
          <w:p w14:paraId="0F53215F" w14:textId="08C881D7" w:rsidR="001162FE" w:rsidRDefault="009C57C0">
            <w:r>
              <w:t xml:space="preserve">To prevent pneumococcal disease in patients </w:t>
            </w:r>
            <w:r w:rsidR="00E7702F">
              <w:t xml:space="preserve">who are </w:t>
            </w:r>
            <w:r w:rsidR="00AC5FCD">
              <w:t xml:space="preserve">not </w:t>
            </w:r>
            <w:r w:rsidR="00E7702F">
              <w:t xml:space="preserve">eligible for </w:t>
            </w:r>
            <w:proofErr w:type="gramStart"/>
            <w:r w:rsidR="00AC5FCD">
              <w:t>funded  Pneumococcal</w:t>
            </w:r>
            <w:proofErr w:type="gramEnd"/>
            <w:r w:rsidR="00AC5FCD">
              <w:t xml:space="preserve"> vaccine</w:t>
            </w:r>
            <w:r>
              <w:t xml:space="preserve">. </w:t>
            </w:r>
          </w:p>
        </w:tc>
      </w:tr>
      <w:tr w:rsidR="001162FE" w14:paraId="3FF7944A" w14:textId="77777777" w:rsidTr="003E326A">
        <w:tc>
          <w:tcPr>
            <w:tcW w:w="2547" w:type="dxa"/>
          </w:tcPr>
          <w:p w14:paraId="7D14152E" w14:textId="77777777" w:rsidR="00877CF2" w:rsidRPr="00325E8A" w:rsidRDefault="008C2A3F">
            <w:pPr>
              <w:rPr>
                <w:b/>
              </w:rPr>
            </w:pPr>
            <w:r w:rsidRPr="00325E8A">
              <w:rPr>
                <w:b/>
              </w:rPr>
              <w:t>Scope (condition and patient group)</w:t>
            </w:r>
          </w:p>
        </w:tc>
        <w:tc>
          <w:tcPr>
            <w:tcW w:w="8215" w:type="dxa"/>
          </w:tcPr>
          <w:p w14:paraId="2A86DEDA" w14:textId="77777777" w:rsidR="00F5121E" w:rsidRDefault="00F5121E" w:rsidP="009C57C0">
            <w:pPr>
              <w:rPr>
                <w:rFonts w:ascii="Calibri" w:hAnsi="Calibri"/>
                <w:lang w:val="en"/>
              </w:rPr>
            </w:pPr>
            <w:r>
              <w:rPr>
                <w:rFonts w:ascii="Calibri" w:hAnsi="Calibri"/>
                <w:lang w:val="en"/>
              </w:rPr>
              <w:t xml:space="preserve">The </w:t>
            </w:r>
            <w:proofErr w:type="spellStart"/>
            <w:r>
              <w:rPr>
                <w:rFonts w:ascii="Calibri" w:hAnsi="Calibri"/>
                <w:lang w:val="en"/>
              </w:rPr>
              <w:t>Immunisation</w:t>
            </w:r>
            <w:proofErr w:type="spellEnd"/>
            <w:r>
              <w:rPr>
                <w:rFonts w:ascii="Calibri" w:hAnsi="Calibri"/>
                <w:lang w:val="en"/>
              </w:rPr>
              <w:t xml:space="preserve"> Handbook states:</w:t>
            </w:r>
          </w:p>
          <w:p w14:paraId="5F25B6DA" w14:textId="6508051F" w:rsidR="002A1C01" w:rsidRDefault="002A1C01" w:rsidP="009C57C0">
            <w:pPr>
              <w:rPr>
                <w:rFonts w:ascii="Calibri" w:hAnsi="Calibri"/>
                <w:lang w:val="en"/>
              </w:rPr>
            </w:pPr>
            <w:r w:rsidRPr="002A1C01">
              <w:rPr>
                <w:rFonts w:ascii="Calibri" w:hAnsi="Calibri"/>
                <w:lang w:val="en"/>
              </w:rPr>
              <w:t xml:space="preserve">PCV13 and 23PPV are recommended but not funded for the following individuals: </w:t>
            </w:r>
          </w:p>
          <w:p w14:paraId="14E76412" w14:textId="77777777" w:rsidR="002A1C01" w:rsidRDefault="002A1C01" w:rsidP="009C57C0">
            <w:pPr>
              <w:rPr>
                <w:rFonts w:ascii="Calibri" w:hAnsi="Calibri"/>
                <w:lang w:val="en"/>
              </w:rPr>
            </w:pPr>
            <w:r w:rsidRPr="002A1C01">
              <w:rPr>
                <w:rFonts w:ascii="Calibri" w:hAnsi="Calibri"/>
                <w:lang w:val="en"/>
              </w:rPr>
              <w:t>• immune-competent adults (aged 18 years and older) at increased risk of pneumococcal disease or its complications because of chronic illness (</w:t>
            </w:r>
            <w:proofErr w:type="spellStart"/>
            <w:r w:rsidRPr="002A1C01">
              <w:rPr>
                <w:rFonts w:ascii="Calibri" w:hAnsi="Calibri"/>
                <w:lang w:val="en"/>
              </w:rPr>
              <w:t>eg</w:t>
            </w:r>
            <w:proofErr w:type="spellEnd"/>
            <w:r w:rsidRPr="002A1C01">
              <w:rPr>
                <w:rFonts w:ascii="Calibri" w:hAnsi="Calibri"/>
                <w:lang w:val="en"/>
              </w:rPr>
              <w:t xml:space="preserve">, chronic heart, renal, liver or pulmonary disease, diabetes or alcoholism) </w:t>
            </w:r>
          </w:p>
          <w:p w14:paraId="144AD19E" w14:textId="77777777" w:rsidR="002A1C01" w:rsidRDefault="002A1C01" w:rsidP="009C57C0">
            <w:pPr>
              <w:rPr>
                <w:rFonts w:ascii="Calibri" w:hAnsi="Calibri"/>
                <w:lang w:val="en"/>
              </w:rPr>
            </w:pPr>
            <w:r w:rsidRPr="002A1C01">
              <w:rPr>
                <w:rFonts w:ascii="Calibri" w:hAnsi="Calibri"/>
                <w:lang w:val="en"/>
              </w:rPr>
              <w:t xml:space="preserve">• adults with cerebrospinal ﬂuid leak </w:t>
            </w:r>
          </w:p>
          <w:p w14:paraId="7A25DFB9" w14:textId="77777777" w:rsidR="002A1C01" w:rsidRDefault="002A1C01" w:rsidP="009C57C0">
            <w:pPr>
              <w:rPr>
                <w:rFonts w:ascii="Calibri" w:hAnsi="Calibri"/>
                <w:lang w:val="en"/>
              </w:rPr>
            </w:pPr>
            <w:r w:rsidRPr="002A1C01">
              <w:rPr>
                <w:rFonts w:ascii="Calibri" w:hAnsi="Calibri"/>
                <w:lang w:val="en"/>
              </w:rPr>
              <w:t>• immunocompromised adults at increased risk of pneumococcal disease (</w:t>
            </w:r>
            <w:proofErr w:type="spellStart"/>
            <w:r w:rsidRPr="002A1C01">
              <w:rPr>
                <w:rFonts w:ascii="Calibri" w:hAnsi="Calibri"/>
                <w:lang w:val="en"/>
              </w:rPr>
              <w:t>eg</w:t>
            </w:r>
            <w:proofErr w:type="spellEnd"/>
            <w:r w:rsidRPr="002A1C01">
              <w:rPr>
                <w:rFonts w:ascii="Calibri" w:hAnsi="Calibri"/>
                <w:lang w:val="en"/>
              </w:rPr>
              <w:t xml:space="preserve">, those with nephrotic syndrome, multiple myeloma, lymphoma and Hodgkin’s disease) </w:t>
            </w:r>
          </w:p>
          <w:p w14:paraId="3FA65D62" w14:textId="77777777" w:rsidR="002A1C01" w:rsidRDefault="002A1C01" w:rsidP="009C57C0">
            <w:pPr>
              <w:rPr>
                <w:rFonts w:ascii="Calibri" w:hAnsi="Calibri"/>
                <w:lang w:val="en"/>
              </w:rPr>
            </w:pPr>
            <w:r w:rsidRPr="002A1C01">
              <w:rPr>
                <w:rFonts w:ascii="Calibri" w:hAnsi="Calibri"/>
                <w:lang w:val="en"/>
              </w:rPr>
              <w:t xml:space="preserve">• individuals of any age who have had one episode of IPD </w:t>
            </w:r>
          </w:p>
          <w:p w14:paraId="3707C9E4" w14:textId="77777777" w:rsidR="002A1C01" w:rsidRDefault="002A1C01" w:rsidP="009C57C0">
            <w:pPr>
              <w:rPr>
                <w:rFonts w:ascii="Calibri" w:hAnsi="Calibri"/>
                <w:lang w:val="en"/>
              </w:rPr>
            </w:pPr>
            <w:r w:rsidRPr="002A1C01">
              <w:rPr>
                <w:rFonts w:ascii="Calibri" w:hAnsi="Calibri"/>
                <w:lang w:val="en"/>
              </w:rPr>
              <w:t xml:space="preserve">• smokers. </w:t>
            </w:r>
          </w:p>
          <w:p w14:paraId="0784361B" w14:textId="77777777" w:rsidR="00F5121E" w:rsidRDefault="00F5121E" w:rsidP="002A3258">
            <w:pPr>
              <w:rPr>
                <w:rFonts w:ascii="Calibri" w:hAnsi="Calibri"/>
                <w:lang w:val="en"/>
              </w:rPr>
            </w:pPr>
          </w:p>
          <w:p w14:paraId="00F7B7B1" w14:textId="1E8A7FED" w:rsidR="001162FE" w:rsidRDefault="002A1C01" w:rsidP="002A3258">
            <w:pPr>
              <w:rPr>
                <w:rFonts w:ascii="Calibri" w:hAnsi="Calibri"/>
                <w:lang w:val="en"/>
              </w:rPr>
            </w:pPr>
            <w:r w:rsidRPr="002A1C01">
              <w:rPr>
                <w:rFonts w:ascii="Calibri" w:hAnsi="Calibri"/>
                <w:lang w:val="en"/>
              </w:rPr>
              <w:t xml:space="preserve">For those individuals who choose to purchase PCV13 and 23PPV vaccines, providers </w:t>
            </w:r>
            <w:r w:rsidR="001E096B">
              <w:rPr>
                <w:rFonts w:ascii="Calibri" w:hAnsi="Calibri"/>
                <w:lang w:val="en"/>
              </w:rPr>
              <w:t>are to</w:t>
            </w:r>
            <w:r w:rsidRPr="002A1C01">
              <w:rPr>
                <w:rFonts w:ascii="Calibri" w:hAnsi="Calibri"/>
                <w:lang w:val="en"/>
              </w:rPr>
              <w:t xml:space="preserve"> follow the age-appropriate schedules in</w:t>
            </w:r>
            <w:r w:rsidR="001E096B">
              <w:rPr>
                <w:rFonts w:ascii="Calibri" w:hAnsi="Calibri"/>
                <w:lang w:val="en"/>
              </w:rPr>
              <w:t xml:space="preserve"> the </w:t>
            </w:r>
            <w:proofErr w:type="spellStart"/>
            <w:r w:rsidR="001E096B">
              <w:rPr>
                <w:rFonts w:ascii="Calibri" w:hAnsi="Calibri"/>
                <w:lang w:val="en"/>
              </w:rPr>
              <w:t>Immunisation</w:t>
            </w:r>
            <w:proofErr w:type="spellEnd"/>
            <w:r w:rsidR="001E096B">
              <w:rPr>
                <w:rFonts w:ascii="Calibri" w:hAnsi="Calibri"/>
                <w:lang w:val="en"/>
              </w:rPr>
              <w:t xml:space="preserve"> Handbook</w:t>
            </w:r>
            <w:r w:rsidRPr="002A1C01">
              <w:rPr>
                <w:rFonts w:ascii="Calibri" w:hAnsi="Calibri"/>
                <w:lang w:val="en"/>
              </w:rPr>
              <w:t xml:space="preserve">. </w:t>
            </w:r>
            <w:r w:rsidR="002A3258">
              <w:rPr>
                <w:rFonts w:ascii="Calibri" w:hAnsi="Calibri"/>
                <w:lang w:val="en"/>
              </w:rPr>
              <w:t xml:space="preserve">The recommendation is that </w:t>
            </w:r>
            <w:r w:rsidR="001E096B">
              <w:rPr>
                <w:rFonts w:ascii="Calibri" w:hAnsi="Calibri"/>
                <w:lang w:val="en"/>
              </w:rPr>
              <w:t>PCV13 (</w:t>
            </w:r>
            <w:r w:rsidR="002A3258" w:rsidRPr="00491431">
              <w:t>Prevenar 13®</w:t>
            </w:r>
            <w:r w:rsidR="001E096B">
              <w:t xml:space="preserve">) </w:t>
            </w:r>
            <w:r w:rsidR="002A3258">
              <w:t>should be given</w:t>
            </w:r>
            <w:r w:rsidR="00944EFC">
              <w:t xml:space="preserve"> as the first </w:t>
            </w:r>
            <w:r w:rsidR="00AC5FCD">
              <w:t>dose</w:t>
            </w:r>
            <w:r w:rsidR="001E096B">
              <w:t>, followed by 23PPV (Pneumovax</w:t>
            </w:r>
            <w:r w:rsidR="00D87D2C" w:rsidRPr="00491431">
              <w:t>®</w:t>
            </w:r>
            <w:r w:rsidR="001E096B">
              <w:t xml:space="preserve"> 23). </w:t>
            </w:r>
          </w:p>
          <w:p w14:paraId="4020A8C6" w14:textId="00B29326" w:rsidR="001E096B" w:rsidRPr="001E096B" w:rsidRDefault="001E096B" w:rsidP="00D87D2C">
            <w:r>
              <w:rPr>
                <w:rFonts w:ascii="Calibri" w:hAnsi="Calibri"/>
                <w:lang w:val="en"/>
              </w:rPr>
              <w:t xml:space="preserve">If individuals do not want to pay for PCV13, 23PPV can be given as the first dose, followed by a second dose </w:t>
            </w:r>
          </w:p>
        </w:tc>
      </w:tr>
      <w:tr w:rsidR="00325E8A" w14:paraId="31132A17" w14:textId="77777777" w:rsidTr="003E326A">
        <w:tc>
          <w:tcPr>
            <w:tcW w:w="2547" w:type="dxa"/>
          </w:tcPr>
          <w:p w14:paraId="1800A4FD" w14:textId="77777777" w:rsidR="00325E8A" w:rsidRPr="00325E8A" w:rsidRDefault="00325E8A">
            <w:pPr>
              <w:rPr>
                <w:b/>
              </w:rPr>
            </w:pPr>
            <w:r w:rsidRPr="00325E8A">
              <w:rPr>
                <w:b/>
              </w:rPr>
              <w:t>Red Flags</w:t>
            </w:r>
          </w:p>
        </w:tc>
        <w:tc>
          <w:tcPr>
            <w:tcW w:w="8215" w:type="dxa"/>
          </w:tcPr>
          <w:p w14:paraId="4CC997B3" w14:textId="77777777" w:rsidR="00262AC7" w:rsidRDefault="008A52AD" w:rsidP="00262AC7">
            <w:pPr>
              <w:pStyle w:val="ListParagraph"/>
              <w:numPr>
                <w:ilvl w:val="0"/>
                <w:numId w:val="9"/>
              </w:numPr>
            </w:pPr>
            <w:r>
              <w:t xml:space="preserve">Refer to The Immunisation Handbook for </w:t>
            </w:r>
            <w:r w:rsidR="00262AC7">
              <w:t>those who are eligible for funded Pneumococcal vaccination</w:t>
            </w:r>
          </w:p>
          <w:p w14:paraId="6BC64A09" w14:textId="17502F94" w:rsidR="001E096B" w:rsidRDefault="00262AC7" w:rsidP="00262AC7">
            <w:pPr>
              <w:pStyle w:val="ListParagraph"/>
              <w:numPr>
                <w:ilvl w:val="0"/>
                <w:numId w:val="9"/>
              </w:numPr>
            </w:pPr>
            <w:r w:rsidRPr="00262AC7">
              <w:t xml:space="preserve">If 23PPV has already been given (prior to any doses of PCV13) to adults aged 18 years and older, wait at least 1 year before administering PCV13. </w:t>
            </w:r>
          </w:p>
        </w:tc>
      </w:tr>
      <w:tr w:rsidR="001162FE" w14:paraId="62414F45" w14:textId="77777777" w:rsidTr="003E326A">
        <w:tc>
          <w:tcPr>
            <w:tcW w:w="2547" w:type="dxa"/>
          </w:tcPr>
          <w:p w14:paraId="474280B5" w14:textId="77777777" w:rsidR="001162FE" w:rsidRPr="00325E8A" w:rsidRDefault="008C2A3F">
            <w:pPr>
              <w:rPr>
                <w:b/>
              </w:rPr>
            </w:pPr>
            <w:r w:rsidRPr="00325E8A">
              <w:rPr>
                <w:b/>
              </w:rPr>
              <w:t>Assessment</w:t>
            </w:r>
          </w:p>
        </w:tc>
        <w:tc>
          <w:tcPr>
            <w:tcW w:w="8215" w:type="dxa"/>
          </w:tcPr>
          <w:p w14:paraId="4FBA4CE0" w14:textId="1FDD60D0" w:rsidR="00F5121E" w:rsidRDefault="00F5121E" w:rsidP="00F5121E">
            <w:pPr>
              <w:pStyle w:val="ListParagraph"/>
              <w:numPr>
                <w:ilvl w:val="0"/>
                <w:numId w:val="6"/>
              </w:numPr>
            </w:pPr>
            <w:r>
              <w:t>Check whether a previous dose of pneumococcal vaccine been administered</w:t>
            </w:r>
          </w:p>
          <w:p w14:paraId="3924051E" w14:textId="43D27956" w:rsidR="00F5121E" w:rsidRDefault="00F5121E" w:rsidP="00F5121E">
            <w:pPr>
              <w:pStyle w:val="ListParagraph"/>
              <w:numPr>
                <w:ilvl w:val="0"/>
                <w:numId w:val="6"/>
              </w:numPr>
            </w:pPr>
            <w:r>
              <w:t>Check when the last dose was administered and type (PCV13 or PPV23)</w:t>
            </w:r>
          </w:p>
          <w:p w14:paraId="27E2A938" w14:textId="77777777" w:rsidR="00F5121E" w:rsidRDefault="00F5121E" w:rsidP="00F5121E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>Check whether the person has any contraindications to the vaccine</w:t>
            </w:r>
          </w:p>
          <w:p w14:paraId="267B4636" w14:textId="40803855" w:rsidR="001F223D" w:rsidRDefault="009B504B" w:rsidP="00D87D2C">
            <w:pPr>
              <w:pStyle w:val="ListParagraph"/>
              <w:numPr>
                <w:ilvl w:val="0"/>
                <w:numId w:val="6"/>
              </w:numPr>
              <w:spacing w:line="256" w:lineRule="auto"/>
            </w:pPr>
            <w:r>
              <w:t>Advise</w:t>
            </w:r>
            <w:r w:rsidR="001F223D">
              <w:t xml:space="preserve"> patient that th</w:t>
            </w:r>
            <w:r w:rsidR="001E096B">
              <w:t>is vaccination schedule</w:t>
            </w:r>
            <w:r w:rsidR="001F223D">
              <w:t xml:space="preserve"> is non-funded </w:t>
            </w:r>
          </w:p>
        </w:tc>
      </w:tr>
      <w:tr w:rsidR="001162FE" w14:paraId="5F579983" w14:textId="77777777" w:rsidTr="003E326A">
        <w:tc>
          <w:tcPr>
            <w:tcW w:w="2547" w:type="dxa"/>
          </w:tcPr>
          <w:p w14:paraId="7E8AF91B" w14:textId="77777777" w:rsidR="001162FE" w:rsidRPr="00325E8A" w:rsidRDefault="000848A8">
            <w:pPr>
              <w:rPr>
                <w:b/>
              </w:rPr>
            </w:pPr>
            <w:r w:rsidRPr="00325E8A">
              <w:rPr>
                <w:b/>
              </w:rPr>
              <w:t>Indication</w:t>
            </w:r>
          </w:p>
        </w:tc>
        <w:tc>
          <w:tcPr>
            <w:tcW w:w="8215" w:type="dxa"/>
          </w:tcPr>
          <w:p w14:paraId="447F366C" w14:textId="0F69EB72" w:rsidR="001F223D" w:rsidRPr="00D87D2C" w:rsidRDefault="00F5121E" w:rsidP="00F5121E">
            <w:pPr>
              <w:rPr>
                <w:bCs/>
              </w:rPr>
            </w:pPr>
            <w:r w:rsidRPr="00D87D2C">
              <w:rPr>
                <w:bCs/>
              </w:rPr>
              <w:t>Immunity to pneumococcal disease is required</w:t>
            </w:r>
          </w:p>
        </w:tc>
      </w:tr>
      <w:tr w:rsidR="001162FE" w14:paraId="711EA245" w14:textId="77777777" w:rsidTr="003E326A">
        <w:tc>
          <w:tcPr>
            <w:tcW w:w="2547" w:type="dxa"/>
          </w:tcPr>
          <w:p w14:paraId="3EA90CFC" w14:textId="322CD51F" w:rsidR="001162FE" w:rsidRPr="00325E8A" w:rsidRDefault="00877CF2">
            <w:pPr>
              <w:rPr>
                <w:b/>
              </w:rPr>
            </w:pPr>
            <w:r w:rsidRPr="00325E8A">
              <w:rPr>
                <w:b/>
              </w:rPr>
              <w:t>Medicine</w:t>
            </w:r>
            <w:r w:rsidR="00E7702F">
              <w:rPr>
                <w:b/>
              </w:rPr>
              <w:t>s</w:t>
            </w:r>
          </w:p>
        </w:tc>
        <w:tc>
          <w:tcPr>
            <w:tcW w:w="8215" w:type="dxa"/>
          </w:tcPr>
          <w:p w14:paraId="7663E394" w14:textId="6F94122F" w:rsidR="001162FE" w:rsidRPr="00D87D2C" w:rsidRDefault="002A1C01">
            <w:pPr>
              <w:rPr>
                <w:bCs/>
              </w:rPr>
            </w:pPr>
            <w:r w:rsidRPr="00D87D2C">
              <w:rPr>
                <w:bCs/>
                <w:lang w:val="en"/>
              </w:rPr>
              <w:t>PCV13 (trade name Prevenar 13</w:t>
            </w:r>
            <w:r w:rsidR="00D87D2C" w:rsidRPr="00491431">
              <w:t>®</w:t>
            </w:r>
            <w:r w:rsidR="00E7702F" w:rsidRPr="00D87D2C">
              <w:rPr>
                <w:bCs/>
                <w:lang w:val="en"/>
              </w:rPr>
              <w:t xml:space="preserve">) and </w:t>
            </w:r>
            <w:r w:rsidRPr="00D87D2C">
              <w:rPr>
                <w:bCs/>
                <w:lang w:val="en"/>
              </w:rPr>
              <w:t xml:space="preserve">PPV23 (trade name </w:t>
            </w:r>
            <w:r w:rsidR="0021630F" w:rsidRPr="00D87D2C">
              <w:rPr>
                <w:bCs/>
                <w:lang w:val="en"/>
              </w:rPr>
              <w:t>Pneumovax® 23</w:t>
            </w:r>
            <w:r w:rsidRPr="00D87D2C">
              <w:rPr>
                <w:bCs/>
                <w:lang w:val="en"/>
              </w:rPr>
              <w:t>)</w:t>
            </w:r>
          </w:p>
        </w:tc>
      </w:tr>
      <w:tr w:rsidR="001162FE" w14:paraId="0C9E36E9" w14:textId="77777777" w:rsidTr="003E326A">
        <w:tc>
          <w:tcPr>
            <w:tcW w:w="2547" w:type="dxa"/>
          </w:tcPr>
          <w:p w14:paraId="3F44147F" w14:textId="77777777" w:rsidR="00877CF2" w:rsidRPr="00325E8A" w:rsidRDefault="00877CF2">
            <w:pPr>
              <w:rPr>
                <w:b/>
              </w:rPr>
            </w:pPr>
            <w:r w:rsidRPr="00325E8A">
              <w:rPr>
                <w:b/>
              </w:rPr>
              <w:t>Dosage instructions</w:t>
            </w:r>
          </w:p>
        </w:tc>
        <w:tc>
          <w:tcPr>
            <w:tcW w:w="8215" w:type="dxa"/>
          </w:tcPr>
          <w:p w14:paraId="31D3277A" w14:textId="49826D56" w:rsidR="001162FE" w:rsidRDefault="00B60F8C">
            <w:r>
              <w:t>In</w:t>
            </w:r>
            <w:r w:rsidR="00F5121E">
              <w:t>ject</w:t>
            </w:r>
            <w:r>
              <w:t xml:space="preserve"> 0.5mLs into the deltoid muscle</w:t>
            </w:r>
          </w:p>
        </w:tc>
      </w:tr>
      <w:tr w:rsidR="001162FE" w14:paraId="72CEB92D" w14:textId="77777777" w:rsidTr="003E326A">
        <w:tc>
          <w:tcPr>
            <w:tcW w:w="2547" w:type="dxa"/>
          </w:tcPr>
          <w:p w14:paraId="2CAD35FA" w14:textId="77777777" w:rsidR="001162FE" w:rsidRPr="00325E8A" w:rsidRDefault="00877CF2">
            <w:pPr>
              <w:rPr>
                <w:b/>
              </w:rPr>
            </w:pPr>
            <w:r w:rsidRPr="00325E8A">
              <w:rPr>
                <w:b/>
              </w:rPr>
              <w:t>Route of administration</w:t>
            </w:r>
          </w:p>
        </w:tc>
        <w:tc>
          <w:tcPr>
            <w:tcW w:w="8215" w:type="dxa"/>
          </w:tcPr>
          <w:p w14:paraId="0BFC8D8B" w14:textId="77777777" w:rsidR="001162FE" w:rsidRDefault="0021630F" w:rsidP="0021630F">
            <w:r>
              <w:t xml:space="preserve">Intramuscular </w:t>
            </w:r>
          </w:p>
        </w:tc>
      </w:tr>
      <w:tr w:rsidR="001162FE" w14:paraId="7D39B330" w14:textId="77777777" w:rsidTr="003E326A">
        <w:tc>
          <w:tcPr>
            <w:tcW w:w="2547" w:type="dxa"/>
          </w:tcPr>
          <w:p w14:paraId="7FA2EF93" w14:textId="77777777" w:rsidR="001162FE" w:rsidRPr="00325E8A" w:rsidRDefault="000848A8">
            <w:pPr>
              <w:rPr>
                <w:b/>
              </w:rPr>
            </w:pPr>
            <w:r>
              <w:rPr>
                <w:b/>
              </w:rPr>
              <w:t xml:space="preserve">Quantity </w:t>
            </w:r>
            <w:r w:rsidR="00B60F8C">
              <w:rPr>
                <w:b/>
              </w:rPr>
              <w:t>to be given</w:t>
            </w:r>
          </w:p>
        </w:tc>
        <w:tc>
          <w:tcPr>
            <w:tcW w:w="8215" w:type="dxa"/>
          </w:tcPr>
          <w:p w14:paraId="28CDE0E6" w14:textId="77777777" w:rsidR="00944EFC" w:rsidRDefault="00B60F8C">
            <w:r>
              <w:t>1 x 0.5mL injection</w:t>
            </w:r>
          </w:p>
        </w:tc>
      </w:tr>
      <w:tr w:rsidR="001162FE" w14:paraId="1C50DF2F" w14:textId="77777777" w:rsidTr="003E326A">
        <w:tc>
          <w:tcPr>
            <w:tcW w:w="2547" w:type="dxa"/>
          </w:tcPr>
          <w:p w14:paraId="299C3E43" w14:textId="77777777" w:rsidR="001162FE" w:rsidRPr="00325E8A" w:rsidRDefault="00877CF2">
            <w:pPr>
              <w:rPr>
                <w:b/>
              </w:rPr>
            </w:pPr>
            <w:r w:rsidRPr="00325E8A">
              <w:rPr>
                <w:b/>
              </w:rPr>
              <w:t>Contraindications</w:t>
            </w:r>
          </w:p>
        </w:tc>
        <w:tc>
          <w:tcPr>
            <w:tcW w:w="8215" w:type="dxa"/>
          </w:tcPr>
          <w:p w14:paraId="6A0D53B3" w14:textId="77777777" w:rsidR="001162FE" w:rsidRDefault="009C57C0">
            <w:r w:rsidRPr="009C57C0">
              <w:rPr>
                <w:rFonts w:ascii="Calibri" w:hAnsi="Calibri"/>
                <w:lang w:val="en"/>
              </w:rPr>
              <w:t>Anyone with severe allergy (anaphylaxis) to a previous dose of this vaccine or a component of the vaccine.</w:t>
            </w:r>
          </w:p>
        </w:tc>
      </w:tr>
      <w:tr w:rsidR="001162FE" w14:paraId="03441D8F" w14:textId="77777777" w:rsidTr="003E326A">
        <w:tc>
          <w:tcPr>
            <w:tcW w:w="2547" w:type="dxa"/>
          </w:tcPr>
          <w:p w14:paraId="658EC9CA" w14:textId="77777777" w:rsidR="001162FE" w:rsidRPr="00325E8A" w:rsidRDefault="00877CF2">
            <w:pPr>
              <w:rPr>
                <w:b/>
              </w:rPr>
            </w:pPr>
            <w:r w:rsidRPr="00325E8A">
              <w:rPr>
                <w:b/>
              </w:rPr>
              <w:t>Precautions</w:t>
            </w:r>
          </w:p>
        </w:tc>
        <w:tc>
          <w:tcPr>
            <w:tcW w:w="8215" w:type="dxa"/>
          </w:tcPr>
          <w:p w14:paraId="31E041AB" w14:textId="2BD4D4B7" w:rsidR="001A5E49" w:rsidRDefault="001A5E49" w:rsidP="00F5121E">
            <w:r>
              <w:t xml:space="preserve">Severe/acute illness with </w:t>
            </w:r>
            <w:r w:rsidR="009C57C0">
              <w:t>a</w:t>
            </w:r>
            <w:r>
              <w:t xml:space="preserve"> fever</w:t>
            </w:r>
            <w:r w:rsidR="009C57C0">
              <w:t xml:space="preserve"> over 38</w:t>
            </w:r>
            <w:r w:rsidR="009C57C0" w:rsidRPr="00F5121E">
              <w:rPr>
                <w:vertAlign w:val="superscript"/>
              </w:rPr>
              <w:t>o</w:t>
            </w:r>
            <w:r w:rsidR="009C57C0">
              <w:t>C</w:t>
            </w:r>
            <w:r>
              <w:t>.</w:t>
            </w:r>
            <w:r w:rsidR="009C57C0">
              <w:t xml:space="preserve"> </w:t>
            </w:r>
          </w:p>
        </w:tc>
      </w:tr>
      <w:tr w:rsidR="008C2A3F" w14:paraId="5E373099" w14:textId="77777777" w:rsidTr="003E326A">
        <w:tc>
          <w:tcPr>
            <w:tcW w:w="2547" w:type="dxa"/>
          </w:tcPr>
          <w:p w14:paraId="672EA1A8" w14:textId="77777777" w:rsidR="008C2A3F" w:rsidRPr="00325E8A" w:rsidRDefault="008C2A3F" w:rsidP="008C2A3F">
            <w:pPr>
              <w:rPr>
                <w:b/>
              </w:rPr>
            </w:pPr>
            <w:r w:rsidRPr="00325E8A">
              <w:rPr>
                <w:b/>
              </w:rPr>
              <w:t>Additional information</w:t>
            </w:r>
          </w:p>
        </w:tc>
        <w:tc>
          <w:tcPr>
            <w:tcW w:w="8215" w:type="dxa"/>
          </w:tcPr>
          <w:p w14:paraId="6CF01E64" w14:textId="73E343B1" w:rsidR="00E7702F" w:rsidRPr="00E7702F" w:rsidRDefault="00E7702F" w:rsidP="00E7702F">
            <w:pPr>
              <w:pStyle w:val="ListParagraph"/>
              <w:numPr>
                <w:ilvl w:val="0"/>
                <w:numId w:val="8"/>
              </w:numPr>
              <w:ind w:left="360"/>
              <w:rPr>
                <w:lang w:val="en-GB"/>
              </w:rPr>
            </w:pPr>
            <w:r>
              <w:t xml:space="preserve">The vaccination </w:t>
            </w:r>
            <w:r w:rsidR="00262AC7">
              <w:t>course</w:t>
            </w:r>
            <w:r>
              <w:t xml:space="preserve"> is to be given as per the current on-line version of the National Immunisation</w:t>
            </w:r>
            <w:r w:rsidRPr="00E7702F">
              <w:rPr>
                <w:lang w:val="en-GB"/>
              </w:rPr>
              <w:t xml:space="preserve"> </w:t>
            </w:r>
            <w:r w:rsidR="00262AC7">
              <w:rPr>
                <w:lang w:val="en-GB"/>
              </w:rPr>
              <w:t>Schedule</w:t>
            </w:r>
          </w:p>
          <w:p w14:paraId="6C69A394" w14:textId="3C643FCB" w:rsidR="00F5121E" w:rsidRPr="00E7702F" w:rsidRDefault="00F5121E" w:rsidP="00E7702F">
            <w:pPr>
              <w:pStyle w:val="ListParagraph"/>
              <w:numPr>
                <w:ilvl w:val="0"/>
                <w:numId w:val="8"/>
              </w:numPr>
              <w:ind w:left="360"/>
              <w:rPr>
                <w:lang w:val="en-GB"/>
              </w:rPr>
            </w:pPr>
            <w:r w:rsidRPr="00E7702F">
              <w:rPr>
                <w:lang w:val="en-GB"/>
              </w:rPr>
              <w:t>Small risk of anaphylaxis, therefore patient should wait for 20 minutes post injection.</w:t>
            </w:r>
          </w:p>
          <w:p w14:paraId="2BB54CD8" w14:textId="77777777" w:rsidR="00F5121E" w:rsidRPr="00E7702F" w:rsidRDefault="00F5121E" w:rsidP="00E7702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12"/>
                <w:szCs w:val="12"/>
              </w:rPr>
            </w:pPr>
            <w:r>
              <w:t xml:space="preserve">Verbal and written </w:t>
            </w:r>
            <w:r w:rsidRPr="00E7702F">
              <w:rPr>
                <w:rFonts w:cstheme="minorHAnsi"/>
              </w:rPr>
              <w:t>post vaccination (</w:t>
            </w:r>
            <w:r w:rsidRPr="00E7702F">
              <w:rPr>
                <w:rFonts w:cstheme="minorHAnsi"/>
                <w:color w:val="333333"/>
                <w:lang w:val="en"/>
              </w:rPr>
              <w:t>HE2505)</w:t>
            </w:r>
            <w:r w:rsidRPr="00E7702F">
              <w:rPr>
                <w:rFonts w:cstheme="minorHAnsi"/>
                <w:lang w:val="en"/>
              </w:rPr>
              <w:t xml:space="preserve"> </w:t>
            </w:r>
            <w:r w:rsidRPr="00E7702F">
              <w:rPr>
                <w:rFonts w:cstheme="minorHAnsi"/>
              </w:rPr>
              <w:t>information</w:t>
            </w:r>
            <w:r>
              <w:t xml:space="preserve"> should be given </w:t>
            </w:r>
          </w:p>
          <w:p w14:paraId="170DF1F4" w14:textId="5C61E055" w:rsidR="00CF5EFE" w:rsidRPr="00262AC7" w:rsidRDefault="00F5121E" w:rsidP="003E308F">
            <w:pPr>
              <w:pStyle w:val="ListParagraph"/>
              <w:numPr>
                <w:ilvl w:val="0"/>
                <w:numId w:val="8"/>
              </w:numPr>
              <w:ind w:left="360"/>
              <w:rPr>
                <w:sz w:val="8"/>
                <w:szCs w:val="8"/>
              </w:rPr>
            </w:pPr>
            <w:r>
              <w:t>The Authorised Vaccinator is responsible for all documentation related to the vaccination event.</w:t>
            </w:r>
          </w:p>
          <w:p w14:paraId="7ECECA63" w14:textId="30A2EC51" w:rsidR="00944EFC" w:rsidRPr="00D87D2C" w:rsidRDefault="002A1C01" w:rsidP="00D87D2C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Calibri" w:hAnsi="Calibri"/>
                <w:lang w:val="en"/>
              </w:rPr>
            </w:pPr>
            <w:r w:rsidRPr="00E7702F">
              <w:rPr>
                <w:rFonts w:ascii="Calibri" w:hAnsi="Calibri"/>
                <w:lang w:val="en"/>
              </w:rPr>
              <w:t>Pneumococcal vaccines</w:t>
            </w:r>
            <w:r w:rsidR="00CF5EFE" w:rsidRPr="00E7702F">
              <w:rPr>
                <w:rFonts w:ascii="Calibri" w:hAnsi="Calibri"/>
                <w:lang w:val="en"/>
              </w:rPr>
              <w:t xml:space="preserve"> can be administered at the same time as </w:t>
            </w:r>
            <w:r w:rsidR="00D87D2C">
              <w:rPr>
                <w:rFonts w:ascii="Calibri" w:hAnsi="Calibri"/>
                <w:lang w:val="en"/>
              </w:rPr>
              <w:t xml:space="preserve">other vaccines, including </w:t>
            </w:r>
            <w:r w:rsidR="00CF5EFE" w:rsidRPr="00E7702F">
              <w:rPr>
                <w:rFonts w:ascii="Calibri" w:hAnsi="Calibri"/>
                <w:lang w:val="en"/>
              </w:rPr>
              <w:t xml:space="preserve">the annual influenza vaccination. </w:t>
            </w:r>
          </w:p>
        </w:tc>
      </w:tr>
      <w:tr w:rsidR="008C2A3F" w14:paraId="30051BBE" w14:textId="77777777" w:rsidTr="003E326A">
        <w:tc>
          <w:tcPr>
            <w:tcW w:w="2547" w:type="dxa"/>
          </w:tcPr>
          <w:p w14:paraId="06504882" w14:textId="77777777" w:rsidR="008C2A3F" w:rsidRPr="00325E8A" w:rsidRDefault="008C2A3F" w:rsidP="008C2A3F">
            <w:pPr>
              <w:rPr>
                <w:b/>
              </w:rPr>
            </w:pPr>
            <w:r w:rsidRPr="00325E8A">
              <w:rPr>
                <w:b/>
              </w:rPr>
              <w:lastRenderedPageBreak/>
              <w:t>Follow-up</w:t>
            </w:r>
          </w:p>
        </w:tc>
        <w:tc>
          <w:tcPr>
            <w:tcW w:w="8215" w:type="dxa"/>
          </w:tcPr>
          <w:p w14:paraId="50FA5E6B" w14:textId="7D4BE743" w:rsidR="008C2A3F" w:rsidRDefault="00F5121E" w:rsidP="0021630F">
            <w:r>
              <w:t xml:space="preserve">Any adverse event that occurs </w:t>
            </w:r>
            <w:proofErr w:type="gramStart"/>
            <w:r>
              <w:t>in the course of</w:t>
            </w:r>
            <w:proofErr w:type="gramEnd"/>
            <w:r>
              <w:t xml:space="preserve"> administration of th</w:t>
            </w:r>
            <w:r w:rsidR="00D87D2C">
              <w:t>ese</w:t>
            </w:r>
            <w:r>
              <w:t xml:space="preserve"> vaccine</w:t>
            </w:r>
            <w:r w:rsidR="00D87D2C">
              <w:t>s</w:t>
            </w:r>
            <w:r>
              <w:t xml:space="preserve"> must be reported to CARM </w:t>
            </w:r>
          </w:p>
        </w:tc>
      </w:tr>
      <w:tr w:rsidR="0070113B" w14:paraId="7B950FBB" w14:textId="77777777" w:rsidTr="003E326A">
        <w:tc>
          <w:tcPr>
            <w:tcW w:w="2547" w:type="dxa"/>
          </w:tcPr>
          <w:p w14:paraId="4F061EF1" w14:textId="77777777" w:rsidR="0070113B" w:rsidRPr="00325E8A" w:rsidRDefault="0070113B" w:rsidP="0070113B">
            <w:pPr>
              <w:rPr>
                <w:b/>
              </w:rPr>
            </w:pPr>
            <w:r w:rsidRPr="00325E8A">
              <w:rPr>
                <w:b/>
              </w:rPr>
              <w:t>Countersigning and auditing</w:t>
            </w:r>
          </w:p>
        </w:tc>
        <w:tc>
          <w:tcPr>
            <w:tcW w:w="8215" w:type="dxa"/>
          </w:tcPr>
          <w:p w14:paraId="70475502" w14:textId="7DE7A85A" w:rsidR="0070113B" w:rsidRDefault="00D87D2C" w:rsidP="00D87D2C">
            <w:r>
              <w:t xml:space="preserve">Countersigning is required within </w:t>
            </w:r>
            <w:r>
              <w:rPr>
                <w:b/>
                <w:i/>
              </w:rPr>
              <w:t xml:space="preserve">10 </w:t>
            </w:r>
            <w:r>
              <w:t>days by the prescriber</w:t>
            </w:r>
          </w:p>
        </w:tc>
      </w:tr>
      <w:tr w:rsidR="0070113B" w14:paraId="04473F40" w14:textId="77777777" w:rsidTr="003E326A">
        <w:tc>
          <w:tcPr>
            <w:tcW w:w="2547" w:type="dxa"/>
          </w:tcPr>
          <w:p w14:paraId="20896941" w14:textId="77777777" w:rsidR="0070113B" w:rsidRPr="00325E8A" w:rsidRDefault="0070113B" w:rsidP="0070113B">
            <w:pPr>
              <w:rPr>
                <w:b/>
              </w:rPr>
            </w:pPr>
            <w:r w:rsidRPr="00325E8A">
              <w:rPr>
                <w:b/>
              </w:rPr>
              <w:t>Competency/training requirements</w:t>
            </w:r>
          </w:p>
        </w:tc>
        <w:tc>
          <w:tcPr>
            <w:tcW w:w="8215" w:type="dxa"/>
          </w:tcPr>
          <w:p w14:paraId="5297A0E1" w14:textId="7251BC56" w:rsidR="0070113B" w:rsidRDefault="0070113B" w:rsidP="0070113B">
            <w:r>
              <w:t xml:space="preserve">All nurses working under this standing order must be </w:t>
            </w:r>
            <w:r w:rsidR="002A1C01">
              <w:t>current authorised vaccinators.</w:t>
            </w:r>
          </w:p>
          <w:p w14:paraId="0E6CF031" w14:textId="63218D3F" w:rsidR="00325E8A" w:rsidRDefault="00325E8A" w:rsidP="0070113B"/>
        </w:tc>
      </w:tr>
      <w:tr w:rsidR="0070113B" w14:paraId="3BD1C04E" w14:textId="77777777" w:rsidTr="003E326A">
        <w:tc>
          <w:tcPr>
            <w:tcW w:w="2547" w:type="dxa"/>
          </w:tcPr>
          <w:p w14:paraId="3C523D9C" w14:textId="77777777" w:rsidR="0070113B" w:rsidRPr="00325E8A" w:rsidRDefault="0070113B" w:rsidP="0070113B">
            <w:pPr>
              <w:rPr>
                <w:b/>
              </w:rPr>
            </w:pPr>
            <w:r w:rsidRPr="00325E8A">
              <w:rPr>
                <w:b/>
              </w:rPr>
              <w:t>Supporting documentation</w:t>
            </w:r>
          </w:p>
        </w:tc>
        <w:tc>
          <w:tcPr>
            <w:tcW w:w="8215" w:type="dxa"/>
          </w:tcPr>
          <w:p w14:paraId="3A126ED3" w14:textId="3A836537" w:rsidR="0070113B" w:rsidRDefault="002A1C01" w:rsidP="0070113B">
            <w:r>
              <w:t xml:space="preserve">Southern </w:t>
            </w:r>
            <w:r w:rsidR="0070113B">
              <w:t>Health</w:t>
            </w:r>
            <w:r>
              <w:t xml:space="preserve"> P</w:t>
            </w:r>
            <w:r w:rsidR="0070113B">
              <w:t>athways</w:t>
            </w:r>
            <w:r w:rsidR="00691E40">
              <w:t xml:space="preserve"> at </w:t>
            </w:r>
            <w:hyperlink r:id="rId7" w:history="1">
              <w:r w:rsidRPr="002A1C01">
                <w:rPr>
                  <w:color w:val="0000FF"/>
                  <w:u w:val="single"/>
                </w:rPr>
                <w:t>https://southern.communityhealthpathways.org/</w:t>
              </w:r>
            </w:hyperlink>
          </w:p>
          <w:p w14:paraId="703276BB" w14:textId="2124453C" w:rsidR="00691E40" w:rsidRDefault="00691E40" w:rsidP="0070113B">
            <w:r>
              <w:t xml:space="preserve">Individual medicine data sheets at </w:t>
            </w:r>
            <w:hyperlink r:id="rId8" w:history="1">
              <w:r w:rsidR="001E096B" w:rsidRPr="008E3786">
                <w:rPr>
                  <w:rStyle w:val="Hyperlink"/>
                </w:rPr>
                <w:t>www.medsafe.govt.nz</w:t>
              </w:r>
            </w:hyperlink>
            <w:r>
              <w:t xml:space="preserve"> </w:t>
            </w:r>
          </w:p>
          <w:p w14:paraId="5B01DB38" w14:textId="77777777" w:rsidR="00691E40" w:rsidRDefault="00691E40" w:rsidP="0070113B">
            <w:r>
              <w:t>Standing Order Guidelines, Ministry of Health, 2012</w:t>
            </w:r>
          </w:p>
          <w:p w14:paraId="7143D3C6" w14:textId="13541131" w:rsidR="00B8293D" w:rsidRDefault="00A1416A" w:rsidP="0070113B">
            <w:r>
              <w:t xml:space="preserve">Immunisation Handbook </w:t>
            </w:r>
            <w:r w:rsidR="001E096B">
              <w:t>at</w:t>
            </w:r>
            <w:r w:rsidR="002A1C01">
              <w:t xml:space="preserve"> </w:t>
            </w:r>
            <w:hyperlink r:id="rId9" w:history="1">
              <w:r w:rsidR="001E096B" w:rsidRPr="008E3786">
                <w:rPr>
                  <w:rStyle w:val="Hyperlink"/>
                </w:rPr>
                <w:t>https://www.health.govt.nz/publication/immunisation-handbook-2017</w:t>
              </w:r>
            </w:hyperlink>
          </w:p>
          <w:p w14:paraId="52204A5D" w14:textId="2DA7DF73" w:rsidR="003E404F" w:rsidRDefault="001E096B" w:rsidP="0070113B">
            <w:r>
              <w:t xml:space="preserve">IMAC at </w:t>
            </w:r>
            <w:hyperlink r:id="rId10" w:history="1">
              <w:r w:rsidRPr="008E3786">
                <w:rPr>
                  <w:rStyle w:val="Hyperlink"/>
                </w:rPr>
                <w:t>www.immune.org.nz</w:t>
              </w:r>
            </w:hyperlink>
            <w:r w:rsidR="00A1416A">
              <w:t xml:space="preserve"> </w:t>
            </w:r>
          </w:p>
        </w:tc>
      </w:tr>
      <w:tr w:rsidR="0070113B" w14:paraId="52810DC3" w14:textId="77777777" w:rsidTr="003E326A">
        <w:tc>
          <w:tcPr>
            <w:tcW w:w="2547" w:type="dxa"/>
          </w:tcPr>
          <w:p w14:paraId="78CB471A" w14:textId="77777777" w:rsidR="0070113B" w:rsidRPr="00325E8A" w:rsidRDefault="0070113B" w:rsidP="0070113B">
            <w:pPr>
              <w:rPr>
                <w:b/>
              </w:rPr>
            </w:pPr>
            <w:r w:rsidRPr="00325E8A">
              <w:rPr>
                <w:b/>
              </w:rPr>
              <w:t>Definition of terms used in standing order</w:t>
            </w:r>
          </w:p>
        </w:tc>
        <w:tc>
          <w:tcPr>
            <w:tcW w:w="8215" w:type="dxa"/>
          </w:tcPr>
          <w:p w14:paraId="66FF4C39" w14:textId="77777777" w:rsidR="00F5121E" w:rsidRDefault="00F5121E" w:rsidP="00F5121E">
            <w:r>
              <w:rPr>
                <w:u w:val="single"/>
              </w:rPr>
              <w:t>Prescriber</w:t>
            </w:r>
            <w:r>
              <w:t xml:space="preserve"> </w:t>
            </w:r>
            <w:proofErr w:type="gramStart"/>
            <w:r>
              <w:t>–  may</w:t>
            </w:r>
            <w:proofErr w:type="gramEnd"/>
            <w:r>
              <w:t xml:space="preserve"> be</w:t>
            </w:r>
          </w:p>
          <w:p w14:paraId="6B1C0171" w14:textId="77777777" w:rsidR="00F5121E" w:rsidRDefault="00F5121E" w:rsidP="00F5121E">
            <w:pPr>
              <w:pStyle w:val="ListParagraph"/>
              <w:numPr>
                <w:ilvl w:val="0"/>
                <w:numId w:val="5"/>
              </w:numPr>
              <w:spacing w:line="256" w:lineRule="auto"/>
            </w:pPr>
            <w:r>
              <w:t xml:space="preserve">a nurse practitioner </w:t>
            </w:r>
          </w:p>
          <w:p w14:paraId="2C704AFB" w14:textId="77777777" w:rsidR="00F5121E" w:rsidRDefault="00F5121E" w:rsidP="00F5121E">
            <w:r>
              <w:sym w:font="Symbol" w:char="F0B7"/>
            </w:r>
            <w:r>
              <w:t xml:space="preserve">     a medical practitioner </w:t>
            </w:r>
          </w:p>
          <w:p w14:paraId="6AF94DA2" w14:textId="77777777" w:rsidR="00F5121E" w:rsidRDefault="00F5121E" w:rsidP="00F5121E">
            <w:r>
              <w:sym w:font="Symbol" w:char="F0B7"/>
            </w:r>
            <w:r>
              <w:t xml:space="preserve">     a registered midwife </w:t>
            </w:r>
          </w:p>
          <w:p w14:paraId="79242082" w14:textId="77777777" w:rsidR="00F5121E" w:rsidRDefault="00F5121E" w:rsidP="00F5121E">
            <w:r>
              <w:sym w:font="Symbol" w:char="F0B7"/>
            </w:r>
            <w:r>
              <w:t xml:space="preserve">     a designated prescriber (which includes a registered nurse fulfilling the designated prescriber criteria) </w:t>
            </w:r>
          </w:p>
          <w:p w14:paraId="7A00015A" w14:textId="77777777" w:rsidR="00F5121E" w:rsidRDefault="00F5121E" w:rsidP="00F5121E">
            <w:r>
              <w:rPr>
                <w:u w:val="single"/>
              </w:rPr>
              <w:t>Authorised Vaccinator</w:t>
            </w:r>
            <w:r>
              <w:t xml:space="preserve"> – a registered nurses authorised to administer vaccines under section 44A of the Medicines Regulations (1984)</w:t>
            </w:r>
          </w:p>
          <w:p w14:paraId="29739753" w14:textId="40850862" w:rsidR="000848A8" w:rsidRDefault="000848A8" w:rsidP="008940C2"/>
        </w:tc>
      </w:tr>
    </w:tbl>
    <w:p w14:paraId="3BF9DE09" w14:textId="77777777" w:rsidR="001162FE" w:rsidRDefault="001162FE"/>
    <w:p w14:paraId="7BC7E432" w14:textId="77777777" w:rsidR="008C2A3F" w:rsidRDefault="008C2A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8073"/>
      </w:tblGrid>
      <w:tr w:rsidR="008C2A3F" w14:paraId="0CEA76E7" w14:textId="77777777" w:rsidTr="00B8293D">
        <w:tc>
          <w:tcPr>
            <w:tcW w:w="2689" w:type="dxa"/>
          </w:tcPr>
          <w:p w14:paraId="3E8A45B4" w14:textId="77777777" w:rsidR="008C2A3F" w:rsidRPr="00325E8A" w:rsidRDefault="008C2A3F" w:rsidP="00B8293D">
            <w:pPr>
              <w:rPr>
                <w:b/>
              </w:rPr>
            </w:pPr>
            <w:r w:rsidRPr="00325E8A">
              <w:rPr>
                <w:b/>
              </w:rPr>
              <w:t>Medical Centre or Clinic</w:t>
            </w:r>
            <w:r w:rsidR="000848A8">
              <w:rPr>
                <w:b/>
              </w:rPr>
              <w:t>:</w:t>
            </w:r>
          </w:p>
        </w:tc>
        <w:tc>
          <w:tcPr>
            <w:tcW w:w="8073" w:type="dxa"/>
          </w:tcPr>
          <w:p w14:paraId="59A0E7D3" w14:textId="77777777" w:rsidR="008C2A3F" w:rsidRDefault="008C2A3F" w:rsidP="00B8293D"/>
        </w:tc>
      </w:tr>
    </w:tbl>
    <w:p w14:paraId="19E028F4" w14:textId="77777777" w:rsidR="001162FE" w:rsidRDefault="001162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</w:tblGrid>
      <w:tr w:rsidR="001162FE" w14:paraId="738AC193" w14:textId="77777777" w:rsidTr="00877CF2">
        <w:tc>
          <w:tcPr>
            <w:tcW w:w="2122" w:type="dxa"/>
          </w:tcPr>
          <w:p w14:paraId="478FD27C" w14:textId="77777777" w:rsidR="001162FE" w:rsidRPr="00325E8A" w:rsidRDefault="00877CF2">
            <w:pPr>
              <w:rPr>
                <w:b/>
              </w:rPr>
            </w:pPr>
            <w:r w:rsidRPr="00325E8A">
              <w:rPr>
                <w:b/>
              </w:rPr>
              <w:t>Signed by issuers</w:t>
            </w:r>
          </w:p>
        </w:tc>
      </w:tr>
    </w:tbl>
    <w:p w14:paraId="2D311F23" w14:textId="77777777" w:rsidR="001162FE" w:rsidRDefault="001162FE"/>
    <w:p w14:paraId="50844992" w14:textId="77777777" w:rsidR="001162FE" w:rsidRDefault="001162FE">
      <w:r>
        <w:t>Name:</w:t>
      </w:r>
      <w:r>
        <w:tab/>
        <w:t>____________________________</w:t>
      </w:r>
      <w:r>
        <w:tab/>
      </w:r>
      <w:r>
        <w:tab/>
        <w:t>Signature: __________________________</w:t>
      </w:r>
    </w:p>
    <w:p w14:paraId="7E07474B" w14:textId="77777777" w:rsidR="001162FE" w:rsidRDefault="001162FE">
      <w:r>
        <w:t>Title:</w:t>
      </w:r>
      <w:r>
        <w:tab/>
        <w:t>____________________________</w:t>
      </w:r>
      <w:r>
        <w:tab/>
      </w:r>
      <w:r>
        <w:tab/>
        <w:t>Date: 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</w:tblGrid>
      <w:tr w:rsidR="001162FE" w14:paraId="56C8C4C9" w14:textId="77777777" w:rsidTr="00877CF2">
        <w:tc>
          <w:tcPr>
            <w:tcW w:w="4531" w:type="dxa"/>
          </w:tcPr>
          <w:p w14:paraId="7846FF9B" w14:textId="77777777" w:rsidR="001162FE" w:rsidRPr="00325E8A" w:rsidRDefault="001162FE">
            <w:pPr>
              <w:rPr>
                <w:b/>
              </w:rPr>
            </w:pPr>
            <w:r w:rsidRPr="00325E8A">
              <w:rPr>
                <w:b/>
              </w:rPr>
              <w:t>Nurses operating under this standing order</w:t>
            </w:r>
          </w:p>
        </w:tc>
      </w:tr>
    </w:tbl>
    <w:p w14:paraId="6F322703" w14:textId="77777777" w:rsidR="001162FE" w:rsidRDefault="001162FE"/>
    <w:p w14:paraId="720F8FAE" w14:textId="5E891467" w:rsidR="003E326A" w:rsidRDefault="003E326A">
      <w:r>
        <w:t xml:space="preserve">Only </w:t>
      </w:r>
      <w:r w:rsidR="00262AC7">
        <w:t>Authorised Vaccinators</w:t>
      </w:r>
      <w:r>
        <w:t xml:space="preserve"> working within the above medical centre or clinic are authorised to administer medication under this standing order. </w:t>
      </w:r>
    </w:p>
    <w:p w14:paraId="5A07EE23" w14:textId="77777777" w:rsidR="001162FE" w:rsidRDefault="001162FE">
      <w:r>
        <w:t>We the undersigned agree that we have read, understood and will comply with this standing order and all associated documents.</w:t>
      </w:r>
    </w:p>
    <w:p w14:paraId="7D478C27" w14:textId="77777777" w:rsidR="001162FE" w:rsidRDefault="001162FE"/>
    <w:p w14:paraId="3CD8B366" w14:textId="77777777" w:rsidR="001162FE" w:rsidRDefault="001162FE">
      <w:r>
        <w:t>Name: ______________________   Signature: __________________________  Date: ______________</w:t>
      </w:r>
    </w:p>
    <w:p w14:paraId="60671403" w14:textId="77777777" w:rsidR="001162FE" w:rsidRDefault="001162FE" w:rsidP="001162FE">
      <w:r>
        <w:t>Name: ______________________   Signature: __________________________  Date: ______________</w:t>
      </w:r>
    </w:p>
    <w:p w14:paraId="6D77ADA0" w14:textId="77777777" w:rsidR="001162FE" w:rsidRDefault="001162FE" w:rsidP="001162FE">
      <w:r>
        <w:t>Name: ______________________   Signature: __________________________  Date: ______________</w:t>
      </w:r>
    </w:p>
    <w:p w14:paraId="234CBA9A" w14:textId="77777777" w:rsidR="001162FE" w:rsidRDefault="001162FE" w:rsidP="001162FE">
      <w:r>
        <w:t>Name: ______________________   Signature: __________________________  Date: ______________</w:t>
      </w:r>
    </w:p>
    <w:p w14:paraId="519F79F0" w14:textId="77777777" w:rsidR="001162FE" w:rsidRDefault="001162FE"/>
    <w:p w14:paraId="6E15DDC7" w14:textId="77777777" w:rsidR="001162FE" w:rsidRDefault="001162FE"/>
    <w:p w14:paraId="57EA0338" w14:textId="77777777" w:rsidR="001162FE" w:rsidRDefault="001162FE"/>
    <w:p w14:paraId="478A52C9" w14:textId="77777777" w:rsidR="001162FE" w:rsidRDefault="001162FE"/>
    <w:p w14:paraId="2096C1E3" w14:textId="77777777" w:rsidR="001162FE" w:rsidRDefault="001162FE"/>
    <w:sectPr w:rsidR="001162FE" w:rsidSect="00D270A8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06771"/>
    <w:multiLevelType w:val="hybridMultilevel"/>
    <w:tmpl w:val="F9085B6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134B52"/>
    <w:multiLevelType w:val="hybridMultilevel"/>
    <w:tmpl w:val="C15C9AC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0028DE"/>
    <w:multiLevelType w:val="hybridMultilevel"/>
    <w:tmpl w:val="1592D3D8"/>
    <w:lvl w:ilvl="0" w:tplc="A7481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905FA"/>
    <w:multiLevelType w:val="hybridMultilevel"/>
    <w:tmpl w:val="EB0013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C4C04"/>
    <w:multiLevelType w:val="hybridMultilevel"/>
    <w:tmpl w:val="0ABC2F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02A71"/>
    <w:multiLevelType w:val="hybridMultilevel"/>
    <w:tmpl w:val="C06A4A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1211B"/>
    <w:multiLevelType w:val="hybridMultilevel"/>
    <w:tmpl w:val="A1B2A0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C23ED"/>
    <w:multiLevelType w:val="hybridMultilevel"/>
    <w:tmpl w:val="7E54FD9A"/>
    <w:lvl w:ilvl="0" w:tplc="A748196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0A8"/>
    <w:rsid w:val="000848A8"/>
    <w:rsid w:val="000A774F"/>
    <w:rsid w:val="001162FE"/>
    <w:rsid w:val="00123A68"/>
    <w:rsid w:val="001A5E49"/>
    <w:rsid w:val="001E096B"/>
    <w:rsid w:val="001F223D"/>
    <w:rsid w:val="0021630F"/>
    <w:rsid w:val="00262AC7"/>
    <w:rsid w:val="002A1C01"/>
    <w:rsid w:val="002A3258"/>
    <w:rsid w:val="002F578F"/>
    <w:rsid w:val="00325E8A"/>
    <w:rsid w:val="003E326A"/>
    <w:rsid w:val="003E404F"/>
    <w:rsid w:val="004149DC"/>
    <w:rsid w:val="00631853"/>
    <w:rsid w:val="00691E40"/>
    <w:rsid w:val="006B314A"/>
    <w:rsid w:val="0070113B"/>
    <w:rsid w:val="007056B6"/>
    <w:rsid w:val="007A2D07"/>
    <w:rsid w:val="00853012"/>
    <w:rsid w:val="00877CF2"/>
    <w:rsid w:val="008940C2"/>
    <w:rsid w:val="008A52AD"/>
    <w:rsid w:val="008C2A3F"/>
    <w:rsid w:val="00944EFC"/>
    <w:rsid w:val="009B504B"/>
    <w:rsid w:val="009C57C0"/>
    <w:rsid w:val="00A1416A"/>
    <w:rsid w:val="00AA1B6D"/>
    <w:rsid w:val="00AC5FCD"/>
    <w:rsid w:val="00AD2258"/>
    <w:rsid w:val="00B60F8C"/>
    <w:rsid w:val="00B8293D"/>
    <w:rsid w:val="00B92B28"/>
    <w:rsid w:val="00BD7F3E"/>
    <w:rsid w:val="00CF5EFE"/>
    <w:rsid w:val="00D270A8"/>
    <w:rsid w:val="00D87D2C"/>
    <w:rsid w:val="00D90A43"/>
    <w:rsid w:val="00DD043D"/>
    <w:rsid w:val="00E7702F"/>
    <w:rsid w:val="00F5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4F882"/>
  <w15:chartTrackingRefBased/>
  <w15:docId w15:val="{D2E9DDCF-23F5-477A-8B59-51F0AA92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48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326A"/>
    <w:pPr>
      <w:ind w:left="720"/>
      <w:contextualSpacing/>
    </w:pPr>
  </w:style>
  <w:style w:type="paragraph" w:customStyle="1" w:styleId="Default">
    <w:name w:val="Default"/>
    <w:rsid w:val="00894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1C0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2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safe.govt.nz" TargetMode="External"/><Relationship Id="rId3" Type="http://schemas.openxmlformats.org/officeDocument/2006/relationships/styles" Target="styles.xml"/><Relationship Id="rId7" Type="http://schemas.openxmlformats.org/officeDocument/2006/relationships/hyperlink" Target="https://southern.communityhealthpathways.org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mmune.org.n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ealth.govt.nz/publication/immunisation-handbook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5E805-536D-4257-A499-08ABAAD1F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757</Words>
  <Characters>4316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PHO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Leach</dc:creator>
  <cp:keywords/>
  <dc:description/>
  <cp:lastModifiedBy>Lisa Johnston</cp:lastModifiedBy>
  <cp:revision>2</cp:revision>
  <dcterms:created xsi:type="dcterms:W3CDTF">2020-08-05T01:22:00Z</dcterms:created>
  <dcterms:modified xsi:type="dcterms:W3CDTF">2020-08-05T01:22:00Z</dcterms:modified>
</cp:coreProperties>
</file>