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A71F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42A8698F" wp14:editId="51E66332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7F6FDB">
        <w:rPr>
          <w:b/>
          <w:sz w:val="28"/>
          <w:szCs w:val="28"/>
        </w:rPr>
        <w:t>UTI in women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1E3EACD2" w14:textId="77777777" w:rsidTr="00877CF2">
        <w:trPr>
          <w:jc w:val="center"/>
        </w:trPr>
        <w:tc>
          <w:tcPr>
            <w:tcW w:w="1555" w:type="dxa"/>
          </w:tcPr>
          <w:p w14:paraId="38960AA2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6F22AF6E" w14:textId="77777777" w:rsidR="001162FE" w:rsidRDefault="001162FE"/>
        </w:tc>
        <w:tc>
          <w:tcPr>
            <w:tcW w:w="1843" w:type="dxa"/>
          </w:tcPr>
          <w:p w14:paraId="20B11336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443AC905" w14:textId="77777777" w:rsidR="001162FE" w:rsidRDefault="001162FE"/>
        </w:tc>
      </w:tr>
    </w:tbl>
    <w:p w14:paraId="6578AC42" w14:textId="77777777" w:rsidR="001162FE" w:rsidRDefault="001162FE"/>
    <w:p w14:paraId="6175541D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4B879BDA" w14:textId="77777777" w:rsidTr="001162FE">
        <w:tc>
          <w:tcPr>
            <w:tcW w:w="2689" w:type="dxa"/>
          </w:tcPr>
          <w:p w14:paraId="6D28CB34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51086E98" w14:textId="1B864088" w:rsidR="001162FE" w:rsidRDefault="007F6FDB">
            <w:r>
              <w:t>U</w:t>
            </w:r>
            <w:r w:rsidR="009A5CD2">
              <w:t xml:space="preserve">rinary </w:t>
            </w:r>
            <w:r>
              <w:t>T</w:t>
            </w:r>
            <w:r w:rsidR="009A5CD2">
              <w:t xml:space="preserve">ract </w:t>
            </w:r>
            <w:r>
              <w:t>I</w:t>
            </w:r>
            <w:r w:rsidR="009A5CD2">
              <w:t>nfection (UTI)</w:t>
            </w:r>
            <w:r>
              <w:t xml:space="preserve"> in women</w:t>
            </w:r>
          </w:p>
        </w:tc>
      </w:tr>
      <w:tr w:rsidR="001162FE" w14:paraId="4647F3DF" w14:textId="77777777" w:rsidTr="001162FE">
        <w:tc>
          <w:tcPr>
            <w:tcW w:w="2689" w:type="dxa"/>
          </w:tcPr>
          <w:p w14:paraId="2C72E3D9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4E9BB3A7" w14:textId="2997A644" w:rsidR="001162FE" w:rsidRDefault="003B3E91" w:rsidP="009A5CD2">
            <w:r>
              <w:t xml:space="preserve">To swiftly and appropriately treat </w:t>
            </w:r>
            <w:r w:rsidR="00853FB9">
              <w:t xml:space="preserve">female </w:t>
            </w:r>
            <w:r>
              <w:t xml:space="preserve">patients </w:t>
            </w:r>
            <w:r w:rsidR="005B7721">
              <w:t>who are symptomatic</w:t>
            </w:r>
            <w:r>
              <w:t xml:space="preserve"> of </w:t>
            </w:r>
            <w:r w:rsidR="009A5CD2">
              <w:t>a UTI</w:t>
            </w:r>
          </w:p>
        </w:tc>
      </w:tr>
      <w:tr w:rsidR="001162FE" w14:paraId="6AC80298" w14:textId="77777777" w:rsidTr="001162FE">
        <w:tc>
          <w:tcPr>
            <w:tcW w:w="2689" w:type="dxa"/>
          </w:tcPr>
          <w:p w14:paraId="5163828F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71948BE7" w14:textId="5203C78D" w:rsidR="001162FE" w:rsidRDefault="007658A5" w:rsidP="009A5CD2">
            <w:r>
              <w:t xml:space="preserve">Woman </w:t>
            </w:r>
            <w:r w:rsidR="00363E54">
              <w:t>≥</w:t>
            </w:r>
            <w:r>
              <w:t>1</w:t>
            </w:r>
            <w:r w:rsidR="00853FB9">
              <w:t>6</w:t>
            </w:r>
            <w:r>
              <w:t xml:space="preserve"> years of age who are assessed as having a </w:t>
            </w:r>
            <w:r w:rsidR="009A5CD2">
              <w:t>UTI</w:t>
            </w:r>
            <w:r>
              <w:t>.</w:t>
            </w:r>
          </w:p>
        </w:tc>
      </w:tr>
      <w:tr w:rsidR="000E47A6" w14:paraId="16256731" w14:textId="77777777" w:rsidTr="001162FE">
        <w:tc>
          <w:tcPr>
            <w:tcW w:w="2689" w:type="dxa"/>
          </w:tcPr>
          <w:p w14:paraId="16186DCB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27E5F4BB" w14:textId="77777777" w:rsidR="000E47A6" w:rsidRDefault="003B3E91" w:rsidP="00737C3F">
            <w:r>
              <w:t>Fever, chills, nausea and</w:t>
            </w:r>
            <w:r w:rsidR="00737C3F" w:rsidRPr="00737C3F">
              <w:t xml:space="preserve"> feeling</w:t>
            </w:r>
            <w:r w:rsidR="00737C3F">
              <w:t xml:space="preserve"> unwell may be a sign of pyelonephritis, especially if associated with lower flank pain.</w:t>
            </w:r>
          </w:p>
          <w:p w14:paraId="3BC1D198" w14:textId="346B8CFD" w:rsidR="00853FB9" w:rsidRDefault="00853FB9" w:rsidP="00737C3F">
            <w:r>
              <w:t>Frail elderly, patients with diabetes, indwelling catheters or recurrent UTIs need further a</w:t>
            </w:r>
            <w:r w:rsidR="003946AE">
              <w:t>ssessment and involvement of a Medical or Nurse P</w:t>
            </w:r>
            <w:r>
              <w:t xml:space="preserve">ractitioner. </w:t>
            </w:r>
          </w:p>
          <w:p w14:paraId="4238BFDD" w14:textId="1EB79BDE" w:rsidR="003946AE" w:rsidRDefault="003946AE" w:rsidP="00737C3F">
            <w:r>
              <w:t>Women who are pregnant will need the involvement of a Medical or Nurse Practitioner or the women’s Lead Maternity Carer.</w:t>
            </w:r>
          </w:p>
        </w:tc>
      </w:tr>
      <w:tr w:rsidR="001162FE" w14:paraId="63CBD264" w14:textId="77777777" w:rsidTr="001162FE">
        <w:tc>
          <w:tcPr>
            <w:tcW w:w="2689" w:type="dxa"/>
          </w:tcPr>
          <w:p w14:paraId="33F4777A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44985165" w14:textId="77777777" w:rsidR="007F6FDB" w:rsidRDefault="007F6FDB" w:rsidP="007F6FDB">
            <w:r>
              <w:t>1. History and examination</w:t>
            </w:r>
          </w:p>
          <w:p w14:paraId="227773DF" w14:textId="77777777" w:rsidR="007F6FDB" w:rsidRDefault="007F6FDB" w:rsidP="007F6FDB">
            <w:pPr>
              <w:pStyle w:val="ListParagraph"/>
              <w:numPr>
                <w:ilvl w:val="0"/>
                <w:numId w:val="2"/>
              </w:numPr>
            </w:pPr>
            <w:r>
              <w:t xml:space="preserve">Ask about recent antibiotics including trimethoprim prescribed by a community pharmacist </w:t>
            </w:r>
          </w:p>
          <w:p w14:paraId="5BA5063B" w14:textId="77777777" w:rsidR="007F6FDB" w:rsidRDefault="007F6FDB" w:rsidP="007F6FDB">
            <w:pPr>
              <w:pStyle w:val="ListParagraph"/>
              <w:numPr>
                <w:ilvl w:val="0"/>
                <w:numId w:val="2"/>
              </w:numPr>
            </w:pPr>
            <w:r>
              <w:t>Check temperature, heart rate, abdomen and flank.</w:t>
            </w:r>
          </w:p>
          <w:p w14:paraId="64ECE591" w14:textId="77777777" w:rsidR="007F6FDB" w:rsidRPr="007F6FDB" w:rsidRDefault="007F6FDB" w:rsidP="007F6FDB">
            <w:pPr>
              <w:pStyle w:val="ListParagraph"/>
              <w:ind w:left="1080"/>
              <w:rPr>
                <w:sz w:val="12"/>
                <w:szCs w:val="12"/>
              </w:rPr>
            </w:pPr>
          </w:p>
          <w:p w14:paraId="6F2FC73C" w14:textId="66EEBA9F" w:rsidR="007F6FDB" w:rsidRDefault="007F6FDB" w:rsidP="007F6FDB">
            <w:r>
              <w:t xml:space="preserve">2. If classic lower urinary tract symptoms </w:t>
            </w:r>
            <w:r w:rsidR="0076794E">
              <w:t>and a positive dipstick, then</w:t>
            </w:r>
            <w:r>
              <w:t xml:space="preserve"> </w:t>
            </w:r>
            <w:r w:rsidRPr="007F6FDB">
              <w:t>a urine culture is not neede</w:t>
            </w:r>
            <w:r w:rsidR="00363E54">
              <w:t>d in uncomplicated UTIs</w:t>
            </w:r>
            <w:r w:rsidR="003946AE">
              <w:t xml:space="preserve">. </w:t>
            </w:r>
            <w:r w:rsidR="00363E54">
              <w:t>Symptoms include:</w:t>
            </w:r>
          </w:p>
          <w:p w14:paraId="16FB47A7" w14:textId="77777777" w:rsidR="007F6FDB" w:rsidRDefault="007F6FDB" w:rsidP="007F6FDB">
            <w:pPr>
              <w:pStyle w:val="ListParagraph"/>
              <w:numPr>
                <w:ilvl w:val="0"/>
                <w:numId w:val="3"/>
              </w:numPr>
            </w:pPr>
            <w:r>
              <w:t>dysuria</w:t>
            </w:r>
          </w:p>
          <w:p w14:paraId="40F89913" w14:textId="77777777" w:rsidR="007F6FDB" w:rsidRDefault="007F6FDB" w:rsidP="007F6FDB">
            <w:pPr>
              <w:pStyle w:val="ListParagraph"/>
              <w:numPr>
                <w:ilvl w:val="0"/>
                <w:numId w:val="3"/>
              </w:numPr>
            </w:pPr>
            <w:r>
              <w:t>frequency</w:t>
            </w:r>
          </w:p>
          <w:p w14:paraId="1C154BB7" w14:textId="77777777" w:rsidR="007F6FDB" w:rsidRDefault="007F6FDB" w:rsidP="007F6FDB">
            <w:pPr>
              <w:pStyle w:val="ListParagraph"/>
              <w:numPr>
                <w:ilvl w:val="0"/>
                <w:numId w:val="3"/>
              </w:numPr>
            </w:pPr>
            <w:r>
              <w:t>urgency</w:t>
            </w:r>
          </w:p>
          <w:p w14:paraId="78066ED7" w14:textId="77777777" w:rsidR="007F6FDB" w:rsidRDefault="007F6FDB" w:rsidP="007F6FDB">
            <w:pPr>
              <w:pStyle w:val="ListParagraph"/>
              <w:numPr>
                <w:ilvl w:val="0"/>
                <w:numId w:val="3"/>
              </w:numPr>
            </w:pPr>
            <w:r>
              <w:t>suprapubic pain</w:t>
            </w:r>
          </w:p>
          <w:p w14:paraId="29D71343" w14:textId="77777777" w:rsidR="007F6FDB" w:rsidRPr="007F6FDB" w:rsidRDefault="007F6FDB" w:rsidP="007F6FDB">
            <w:pPr>
              <w:pStyle w:val="ListParagraph"/>
              <w:ind w:left="1080"/>
              <w:rPr>
                <w:sz w:val="12"/>
                <w:szCs w:val="12"/>
              </w:rPr>
            </w:pPr>
          </w:p>
          <w:p w14:paraId="3B0AAD35" w14:textId="77777777" w:rsidR="007F6FDB" w:rsidRDefault="007F6FDB" w:rsidP="007F6FDB">
            <w:r>
              <w:t>3. Consider testing for chlamydia urethritis as it can present with dysuria in both women and men.</w:t>
            </w:r>
          </w:p>
          <w:p w14:paraId="23A3A91D" w14:textId="77777777" w:rsidR="007F6FDB" w:rsidRPr="007F6FDB" w:rsidRDefault="007F6FDB" w:rsidP="007F6FDB">
            <w:pPr>
              <w:rPr>
                <w:sz w:val="12"/>
                <w:szCs w:val="12"/>
              </w:rPr>
            </w:pPr>
          </w:p>
          <w:p w14:paraId="589B95B9" w14:textId="77777777" w:rsidR="001162FE" w:rsidRDefault="007F6FDB" w:rsidP="007F6FDB">
            <w:r>
              <w:t>4. In the elderly, treat only if there are clinical signs and symptoms, rather than based on a positive dipstick or positive urine culture result.</w:t>
            </w:r>
          </w:p>
        </w:tc>
      </w:tr>
      <w:tr w:rsidR="001162FE" w14:paraId="1B7001F5" w14:textId="77777777" w:rsidTr="001162FE">
        <w:tc>
          <w:tcPr>
            <w:tcW w:w="2689" w:type="dxa"/>
          </w:tcPr>
          <w:p w14:paraId="1D532DA8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1B0B4C04" w14:textId="660A92FC" w:rsidR="001162FE" w:rsidRPr="005B7721" w:rsidRDefault="005B7721">
            <w:pPr>
              <w:rPr>
                <w:b/>
              </w:rPr>
            </w:pPr>
            <w:r w:rsidRPr="005B7721">
              <w:rPr>
                <w:b/>
              </w:rPr>
              <w:t>Treatment of UTI</w:t>
            </w:r>
          </w:p>
        </w:tc>
      </w:tr>
      <w:tr w:rsidR="001162FE" w14:paraId="3F115BF9" w14:textId="77777777" w:rsidTr="001162FE">
        <w:tc>
          <w:tcPr>
            <w:tcW w:w="2689" w:type="dxa"/>
          </w:tcPr>
          <w:p w14:paraId="3307D8F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4F1A4D39" w14:textId="77777777" w:rsidR="001162FE" w:rsidRDefault="007658A5" w:rsidP="007658A5">
            <w:r w:rsidRPr="00782909">
              <w:rPr>
                <w:b/>
              </w:rPr>
              <w:t>Trimethoprim</w:t>
            </w:r>
            <w:r w:rsidRPr="007658A5">
              <w:t xml:space="preserve"> 300 mg </w:t>
            </w:r>
            <w:r>
              <w:t>tablets</w:t>
            </w:r>
          </w:p>
        </w:tc>
      </w:tr>
      <w:tr w:rsidR="001162FE" w14:paraId="2673573F" w14:textId="77777777" w:rsidTr="001162FE">
        <w:tc>
          <w:tcPr>
            <w:tcW w:w="2689" w:type="dxa"/>
          </w:tcPr>
          <w:p w14:paraId="18023840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2834AC18" w14:textId="1B76CB82" w:rsidR="001162FE" w:rsidRDefault="007658A5">
            <w:r w:rsidRPr="003B7900">
              <w:rPr>
                <w:u w:val="single"/>
              </w:rPr>
              <w:t>Woman ≤ 70 years</w:t>
            </w:r>
            <w:r>
              <w:t>:</w:t>
            </w:r>
            <w:r w:rsidR="009F4F03">
              <w:t xml:space="preserve"> </w:t>
            </w:r>
            <w:r w:rsidRPr="007658A5">
              <w:t>300 mg at bedtime for 3 days</w:t>
            </w:r>
            <w:r>
              <w:t xml:space="preserve"> or</w:t>
            </w:r>
          </w:p>
          <w:p w14:paraId="07BADB15" w14:textId="6C0560C7" w:rsidR="007658A5" w:rsidRDefault="007658A5" w:rsidP="003946AE">
            <w:r w:rsidRPr="003B7900">
              <w:rPr>
                <w:u w:val="single"/>
              </w:rPr>
              <w:t>Women &gt;70 years old</w:t>
            </w:r>
            <w:r w:rsidR="003946AE">
              <w:t>:</w:t>
            </w:r>
            <w:r>
              <w:t xml:space="preserve"> 300mg at bedtime for 7 days</w:t>
            </w:r>
          </w:p>
        </w:tc>
      </w:tr>
      <w:tr w:rsidR="001162FE" w14:paraId="6BF1DE81" w14:textId="77777777" w:rsidTr="001162FE">
        <w:tc>
          <w:tcPr>
            <w:tcW w:w="2689" w:type="dxa"/>
          </w:tcPr>
          <w:p w14:paraId="31E6E294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018F27AE" w14:textId="77777777" w:rsidR="001162FE" w:rsidRDefault="007658A5">
            <w:r>
              <w:t>Oral</w:t>
            </w:r>
          </w:p>
        </w:tc>
      </w:tr>
      <w:tr w:rsidR="001162FE" w14:paraId="2032EC37" w14:textId="77777777" w:rsidTr="001162FE">
        <w:tc>
          <w:tcPr>
            <w:tcW w:w="2689" w:type="dxa"/>
          </w:tcPr>
          <w:p w14:paraId="38F1DFB8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32206797" w14:textId="77777777" w:rsidR="001162FE" w:rsidRDefault="007658A5">
            <w:r>
              <w:t xml:space="preserve"> 3 or 7 days depending on age of patient.</w:t>
            </w:r>
          </w:p>
        </w:tc>
      </w:tr>
      <w:tr w:rsidR="001162FE" w14:paraId="6435A41E" w14:textId="77777777" w:rsidTr="001162FE">
        <w:tc>
          <w:tcPr>
            <w:tcW w:w="2689" w:type="dxa"/>
          </w:tcPr>
          <w:p w14:paraId="5C9CC41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265F8D4" w14:textId="77777777" w:rsidR="0076794E" w:rsidRDefault="0076794E" w:rsidP="0026192F">
            <w:pPr>
              <w:pStyle w:val="ListParagraph"/>
              <w:numPr>
                <w:ilvl w:val="0"/>
                <w:numId w:val="7"/>
              </w:numPr>
            </w:pPr>
            <w:r>
              <w:t xml:space="preserve">Blood </w:t>
            </w:r>
            <w:proofErr w:type="spellStart"/>
            <w:r w:rsidRPr="0076794E">
              <w:t>dyscrasias</w:t>
            </w:r>
            <w:proofErr w:type="spellEnd"/>
          </w:p>
          <w:p w14:paraId="6A08CC91" w14:textId="0A4572AE" w:rsidR="000D476D" w:rsidRDefault="000D476D" w:rsidP="0026192F">
            <w:pPr>
              <w:pStyle w:val="ListParagraph"/>
              <w:numPr>
                <w:ilvl w:val="0"/>
                <w:numId w:val="7"/>
              </w:numPr>
            </w:pPr>
            <w:r>
              <w:t>P</w:t>
            </w:r>
            <w:r w:rsidRPr="000D476D">
              <w:t>orphyria</w:t>
            </w:r>
            <w:r>
              <w:t xml:space="preserve"> </w:t>
            </w:r>
          </w:p>
          <w:p w14:paraId="034409B9" w14:textId="33DCB9B0" w:rsidR="006A676B" w:rsidRDefault="00251BDB" w:rsidP="0026192F">
            <w:pPr>
              <w:pStyle w:val="ListParagraph"/>
              <w:numPr>
                <w:ilvl w:val="0"/>
                <w:numId w:val="7"/>
              </w:numPr>
            </w:pPr>
            <w:r>
              <w:t>Allergy to trimethoprim</w:t>
            </w:r>
          </w:p>
        </w:tc>
      </w:tr>
      <w:tr w:rsidR="001162FE" w14:paraId="13C52FB1" w14:textId="77777777" w:rsidTr="00782909">
        <w:tc>
          <w:tcPr>
            <w:tcW w:w="2689" w:type="dxa"/>
            <w:tcBorders>
              <w:bottom w:val="single" w:sz="4" w:space="0" w:color="auto"/>
            </w:tcBorders>
          </w:tcPr>
          <w:p w14:paraId="78E60FA7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35CC6B08" w14:textId="66C1EA41" w:rsidR="001162FE" w:rsidRDefault="0076794E" w:rsidP="00737C3F">
            <w:pPr>
              <w:pStyle w:val="ListParagraph"/>
              <w:numPr>
                <w:ilvl w:val="0"/>
                <w:numId w:val="4"/>
              </w:numPr>
            </w:pPr>
            <w:r>
              <w:t>Renal impairment</w:t>
            </w:r>
            <w:r w:rsidR="000224DA">
              <w:t xml:space="preserve"> (</w:t>
            </w:r>
            <w:proofErr w:type="spellStart"/>
            <w:r w:rsidR="000224DA">
              <w:t>CrCl</w:t>
            </w:r>
            <w:proofErr w:type="spellEnd"/>
            <w:r w:rsidR="000224DA">
              <w:t xml:space="preserve"> &lt;30mLs/min)</w:t>
            </w:r>
            <w:bookmarkStart w:id="0" w:name="_GoBack"/>
            <w:bookmarkEnd w:id="0"/>
            <w:r>
              <w:t>, needs dose adjustment</w:t>
            </w:r>
          </w:p>
          <w:p w14:paraId="2CF37B12" w14:textId="1B05829A" w:rsidR="006A676B" w:rsidRDefault="006A676B" w:rsidP="00363E54">
            <w:pPr>
              <w:pStyle w:val="ListParagraph"/>
              <w:numPr>
                <w:ilvl w:val="0"/>
                <w:numId w:val="4"/>
              </w:numPr>
            </w:pPr>
            <w:r w:rsidRPr="000258CE">
              <w:t>Con</w:t>
            </w:r>
            <w:r w:rsidR="00363E54">
              <w:t>current administration with an</w:t>
            </w:r>
            <w:r w:rsidRPr="000258CE">
              <w:t xml:space="preserve"> ACE</w:t>
            </w:r>
            <w:r w:rsidR="000258CE" w:rsidRPr="000258CE">
              <w:t xml:space="preserve">-I </w:t>
            </w:r>
            <w:r w:rsidR="0026192F" w:rsidRPr="000258CE">
              <w:t>or ARB</w:t>
            </w:r>
            <w:r w:rsidRPr="000258CE">
              <w:t xml:space="preserve">, </w:t>
            </w:r>
            <w:r w:rsidR="000258CE" w:rsidRPr="000258CE">
              <w:t>especially in elderly with or without renal impairment due to risk of hyperkalaemia</w:t>
            </w:r>
            <w:r w:rsidR="000258CE">
              <w:t>.</w:t>
            </w:r>
          </w:p>
        </w:tc>
      </w:tr>
      <w:tr w:rsidR="007658A5" w:rsidRPr="00782909" w14:paraId="49DD4CDD" w14:textId="77777777" w:rsidTr="00782909">
        <w:tc>
          <w:tcPr>
            <w:tcW w:w="2689" w:type="dxa"/>
            <w:tcBorders>
              <w:right w:val="nil"/>
            </w:tcBorders>
          </w:tcPr>
          <w:p w14:paraId="0EC35E17" w14:textId="77777777" w:rsidR="007658A5" w:rsidRPr="00782909" w:rsidRDefault="007658A5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77FD4216" w14:textId="77777777" w:rsidR="007658A5" w:rsidRPr="00782909" w:rsidRDefault="007658A5">
            <w:pPr>
              <w:rPr>
                <w:sz w:val="12"/>
                <w:szCs w:val="12"/>
              </w:rPr>
            </w:pPr>
          </w:p>
        </w:tc>
      </w:tr>
      <w:tr w:rsidR="007658A5" w14:paraId="7F148C9F" w14:textId="77777777" w:rsidTr="007658A5">
        <w:tc>
          <w:tcPr>
            <w:tcW w:w="2689" w:type="dxa"/>
          </w:tcPr>
          <w:p w14:paraId="49DA9253" w14:textId="77777777" w:rsidR="007658A5" w:rsidRPr="0064385C" w:rsidRDefault="007658A5" w:rsidP="007658A5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612C6466" w14:textId="6827FF22" w:rsidR="007658A5" w:rsidRPr="005B7721" w:rsidRDefault="005B7721" w:rsidP="007658A5">
            <w:pPr>
              <w:rPr>
                <w:b/>
              </w:rPr>
            </w:pPr>
            <w:r w:rsidRPr="005B7721">
              <w:rPr>
                <w:b/>
              </w:rPr>
              <w:t>Treatment of UTI</w:t>
            </w:r>
            <w:r w:rsidR="009D40B7">
              <w:rPr>
                <w:b/>
              </w:rPr>
              <w:t xml:space="preserve"> if trimethoprim inappropriate</w:t>
            </w:r>
          </w:p>
        </w:tc>
      </w:tr>
      <w:tr w:rsidR="007658A5" w14:paraId="45A850E0" w14:textId="77777777" w:rsidTr="007658A5">
        <w:tc>
          <w:tcPr>
            <w:tcW w:w="2689" w:type="dxa"/>
          </w:tcPr>
          <w:p w14:paraId="52639B5C" w14:textId="77777777" w:rsidR="007658A5" w:rsidRPr="0064385C" w:rsidRDefault="007658A5" w:rsidP="007658A5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524BEBF7" w14:textId="3395CFFA" w:rsidR="007658A5" w:rsidRDefault="007658A5" w:rsidP="00782909">
            <w:r w:rsidRPr="00782909">
              <w:rPr>
                <w:b/>
              </w:rPr>
              <w:t>Nitrofurantoin</w:t>
            </w:r>
            <w:r w:rsidR="00782909">
              <w:t xml:space="preserve"> </w:t>
            </w:r>
          </w:p>
        </w:tc>
      </w:tr>
      <w:tr w:rsidR="007658A5" w14:paraId="3E907CE5" w14:textId="77777777" w:rsidTr="007658A5">
        <w:tc>
          <w:tcPr>
            <w:tcW w:w="2689" w:type="dxa"/>
          </w:tcPr>
          <w:p w14:paraId="65337BA9" w14:textId="77777777" w:rsidR="007658A5" w:rsidRPr="0064385C" w:rsidRDefault="007658A5" w:rsidP="007658A5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31BFDE1" w14:textId="331B0C90" w:rsidR="007658A5" w:rsidRDefault="009F4F03" w:rsidP="007658A5">
            <w:r w:rsidRPr="003B7900">
              <w:rPr>
                <w:u w:val="single"/>
              </w:rPr>
              <w:t>Woman ≤ 70 years</w:t>
            </w:r>
            <w:r w:rsidRPr="009F4F03">
              <w:t>:</w:t>
            </w:r>
            <w:r>
              <w:t xml:space="preserve"> </w:t>
            </w:r>
            <w:r w:rsidR="007658A5" w:rsidRPr="007658A5">
              <w:t>50 mg four times daily for 5 days</w:t>
            </w:r>
            <w:r w:rsidR="007658A5">
              <w:t xml:space="preserve"> or</w:t>
            </w:r>
          </w:p>
          <w:p w14:paraId="63E76166" w14:textId="255EAA8E" w:rsidR="007658A5" w:rsidRDefault="009F4F03" w:rsidP="003946AE">
            <w:r w:rsidRPr="003B7900">
              <w:rPr>
                <w:u w:val="single"/>
              </w:rPr>
              <w:t>Women &gt;70 years old</w:t>
            </w:r>
            <w:r w:rsidRPr="009F4F03">
              <w:t xml:space="preserve">: </w:t>
            </w:r>
            <w:r w:rsidR="007658A5" w:rsidRPr="007658A5">
              <w:t xml:space="preserve">50 mg four times daily </w:t>
            </w:r>
            <w:r w:rsidR="007658A5">
              <w:t>for 7</w:t>
            </w:r>
            <w:r w:rsidR="007658A5" w:rsidRPr="007658A5">
              <w:t xml:space="preserve"> days</w:t>
            </w:r>
          </w:p>
        </w:tc>
      </w:tr>
      <w:tr w:rsidR="007658A5" w14:paraId="5A773DFA" w14:textId="77777777" w:rsidTr="007658A5">
        <w:tc>
          <w:tcPr>
            <w:tcW w:w="2689" w:type="dxa"/>
          </w:tcPr>
          <w:p w14:paraId="48142AD1" w14:textId="77777777" w:rsidR="007658A5" w:rsidRPr="0064385C" w:rsidRDefault="007658A5" w:rsidP="007658A5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48BB74A8" w14:textId="77777777" w:rsidR="007658A5" w:rsidRDefault="007658A5" w:rsidP="007658A5">
            <w:r>
              <w:t>Oral</w:t>
            </w:r>
          </w:p>
        </w:tc>
      </w:tr>
      <w:tr w:rsidR="007658A5" w14:paraId="46D02DA9" w14:textId="77777777" w:rsidTr="007658A5">
        <w:tc>
          <w:tcPr>
            <w:tcW w:w="2689" w:type="dxa"/>
          </w:tcPr>
          <w:p w14:paraId="2B917DB5" w14:textId="77777777" w:rsidR="007658A5" w:rsidRPr="0064385C" w:rsidRDefault="007658A5" w:rsidP="007658A5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07905316" w14:textId="095DA734" w:rsidR="007658A5" w:rsidRDefault="00737C3F" w:rsidP="007658A5">
            <w:r>
              <w:t>5 or 7 days depending on age of patient.</w:t>
            </w:r>
          </w:p>
        </w:tc>
      </w:tr>
      <w:tr w:rsidR="007658A5" w14:paraId="67D1CF68" w14:textId="77777777" w:rsidTr="007658A5">
        <w:tc>
          <w:tcPr>
            <w:tcW w:w="2689" w:type="dxa"/>
          </w:tcPr>
          <w:p w14:paraId="3B748EDA" w14:textId="77777777" w:rsidR="007658A5" w:rsidRPr="0064385C" w:rsidRDefault="007658A5" w:rsidP="007658A5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Contraindications</w:t>
            </w:r>
          </w:p>
        </w:tc>
        <w:tc>
          <w:tcPr>
            <w:tcW w:w="8073" w:type="dxa"/>
          </w:tcPr>
          <w:p w14:paraId="5CEC60F5" w14:textId="6F7A03F2" w:rsidR="007658A5" w:rsidRDefault="007658A5" w:rsidP="0026192F">
            <w:pPr>
              <w:pStyle w:val="ListParagraph"/>
              <w:numPr>
                <w:ilvl w:val="0"/>
                <w:numId w:val="6"/>
              </w:numPr>
            </w:pPr>
            <w:r>
              <w:t xml:space="preserve">Avoid in renal </w:t>
            </w:r>
            <w:r w:rsidR="00737C3F">
              <w:t>impairment</w:t>
            </w:r>
            <w:r w:rsidR="00925330">
              <w:t xml:space="preserve"> with </w:t>
            </w:r>
            <w:proofErr w:type="spellStart"/>
            <w:r w:rsidR="00925330">
              <w:t>CrCl</w:t>
            </w:r>
            <w:proofErr w:type="spellEnd"/>
            <w:r w:rsidR="00925330">
              <w:t xml:space="preserve"> &lt;60mLs/min</w:t>
            </w:r>
          </w:p>
          <w:p w14:paraId="01990E9A" w14:textId="5E8C4AD4" w:rsidR="005B7721" w:rsidRDefault="005B7721" w:rsidP="0026192F">
            <w:pPr>
              <w:pStyle w:val="ListParagraph"/>
              <w:numPr>
                <w:ilvl w:val="0"/>
                <w:numId w:val="6"/>
              </w:numPr>
            </w:pPr>
            <w:r>
              <w:t>Allergy to nitrofurantoin</w:t>
            </w:r>
          </w:p>
        </w:tc>
      </w:tr>
      <w:tr w:rsidR="007658A5" w14:paraId="7B402514" w14:textId="77777777" w:rsidTr="00782909">
        <w:tc>
          <w:tcPr>
            <w:tcW w:w="2689" w:type="dxa"/>
            <w:tcBorders>
              <w:bottom w:val="single" w:sz="4" w:space="0" w:color="auto"/>
            </w:tcBorders>
          </w:tcPr>
          <w:p w14:paraId="770EC217" w14:textId="77777777" w:rsidR="007658A5" w:rsidRPr="0064385C" w:rsidRDefault="007658A5" w:rsidP="007658A5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0C38D496" w14:textId="7A17E273" w:rsidR="007658A5" w:rsidRDefault="00782909" w:rsidP="00782909">
            <w:pPr>
              <w:pStyle w:val="ListParagraph"/>
              <w:numPr>
                <w:ilvl w:val="0"/>
                <w:numId w:val="5"/>
              </w:numPr>
            </w:pPr>
            <w:r>
              <w:t>Elderly and renal dysfunction</w:t>
            </w:r>
          </w:p>
        </w:tc>
      </w:tr>
      <w:tr w:rsidR="007658A5" w:rsidRPr="00782909" w14:paraId="7D9FD24E" w14:textId="77777777" w:rsidTr="00782909">
        <w:tc>
          <w:tcPr>
            <w:tcW w:w="2689" w:type="dxa"/>
            <w:tcBorders>
              <w:right w:val="nil"/>
            </w:tcBorders>
          </w:tcPr>
          <w:p w14:paraId="66DB5F02" w14:textId="77777777" w:rsidR="007658A5" w:rsidRPr="00782909" w:rsidRDefault="007658A5" w:rsidP="007658A5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08D8BB8D" w14:textId="77777777" w:rsidR="007658A5" w:rsidRPr="00782909" w:rsidRDefault="007658A5" w:rsidP="007658A5">
            <w:pPr>
              <w:rPr>
                <w:sz w:val="12"/>
                <w:szCs w:val="12"/>
              </w:rPr>
            </w:pPr>
          </w:p>
        </w:tc>
      </w:tr>
      <w:tr w:rsidR="008C2A3F" w14:paraId="4EDCDD95" w14:textId="77777777" w:rsidTr="001162FE">
        <w:tc>
          <w:tcPr>
            <w:tcW w:w="2689" w:type="dxa"/>
          </w:tcPr>
          <w:p w14:paraId="7754027A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0D5C5C88" w14:textId="25110209" w:rsidR="008C2A3F" w:rsidRDefault="009F4F03" w:rsidP="008C2A3F">
            <w:r>
              <w:t>In uncomplicated UTIs d</w:t>
            </w:r>
            <w:r w:rsidR="007658A5" w:rsidRPr="007658A5">
              <w:t>o not send an MSU to the laboratory.</w:t>
            </w:r>
          </w:p>
          <w:p w14:paraId="40F87598" w14:textId="77777777" w:rsidR="00363E54" w:rsidRPr="00363E54" w:rsidRDefault="00363E54" w:rsidP="008C2A3F">
            <w:pPr>
              <w:rPr>
                <w:sz w:val="8"/>
                <w:szCs w:val="8"/>
              </w:rPr>
            </w:pPr>
          </w:p>
          <w:p w14:paraId="6CF0042B" w14:textId="43E8FA73" w:rsidR="00853FB9" w:rsidRDefault="0026192F" w:rsidP="00371F01">
            <w:r>
              <w:t>Encourage fluid intake.</w:t>
            </w:r>
          </w:p>
        </w:tc>
      </w:tr>
      <w:tr w:rsidR="008C2A3F" w14:paraId="486F844F" w14:textId="77777777" w:rsidTr="001162FE">
        <w:tc>
          <w:tcPr>
            <w:tcW w:w="2689" w:type="dxa"/>
          </w:tcPr>
          <w:p w14:paraId="0A2D6FA1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588B0E49" w14:textId="21AB0FFE" w:rsidR="00DC0404" w:rsidRDefault="00DC0404" w:rsidP="008C2A3F">
            <w:r w:rsidRPr="00DC0404">
              <w:t xml:space="preserve">If symptoms worsen or if </w:t>
            </w:r>
            <w:r>
              <w:t xml:space="preserve">patient </w:t>
            </w:r>
            <w:r w:rsidRPr="00DC0404">
              <w:t>develop</w:t>
            </w:r>
            <w:r>
              <w:t>s</w:t>
            </w:r>
            <w:r w:rsidRPr="00DC0404">
              <w:t xml:space="preserve"> other symptoms such </w:t>
            </w:r>
            <w:r>
              <w:t>as fever, nausea or kidney pain then request that they represent.</w:t>
            </w:r>
          </w:p>
          <w:p w14:paraId="7D7C855A" w14:textId="77777777" w:rsidR="00371F01" w:rsidRPr="00371F01" w:rsidRDefault="00371F01" w:rsidP="008C2A3F">
            <w:pPr>
              <w:rPr>
                <w:sz w:val="8"/>
                <w:szCs w:val="8"/>
              </w:rPr>
            </w:pPr>
          </w:p>
          <w:p w14:paraId="1478AB2B" w14:textId="77777777" w:rsidR="008C2A3F" w:rsidRDefault="00DC0404" w:rsidP="00DC0404">
            <w:r w:rsidRPr="00DC0404">
              <w:t>If no response in 48 hours</w:t>
            </w:r>
            <w:r>
              <w:t xml:space="preserve"> request that they represent</w:t>
            </w:r>
            <w:r w:rsidRPr="00DC0404">
              <w:t>.</w:t>
            </w:r>
          </w:p>
          <w:p w14:paraId="03A55716" w14:textId="77777777" w:rsidR="00371F01" w:rsidRPr="00371F01" w:rsidRDefault="00371F01" w:rsidP="00DC0404">
            <w:pPr>
              <w:rPr>
                <w:sz w:val="8"/>
                <w:szCs w:val="8"/>
              </w:rPr>
            </w:pPr>
          </w:p>
          <w:p w14:paraId="0C202671" w14:textId="429D81DE" w:rsidR="00371F01" w:rsidRDefault="00371F01" w:rsidP="00DC0404">
            <w:r>
              <w:t>Elderly patients can deteriorate quickly, therefore if they have any concerns ask them to represent asap.</w:t>
            </w:r>
          </w:p>
        </w:tc>
      </w:tr>
      <w:tr w:rsidR="0070113B" w14:paraId="1DA7AF2E" w14:textId="77777777" w:rsidTr="001162FE">
        <w:tc>
          <w:tcPr>
            <w:tcW w:w="2689" w:type="dxa"/>
          </w:tcPr>
          <w:p w14:paraId="79339A92" w14:textId="59EBA2A6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4BBDC501" w14:textId="77777777" w:rsidR="0070113B" w:rsidRDefault="0070113B" w:rsidP="0070113B">
            <w:r>
              <w:t>Countersigning is not required. Audited monthly.</w:t>
            </w:r>
          </w:p>
          <w:p w14:paraId="4A3B9BD8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6BD67732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517B18C0" w14:textId="77777777" w:rsidTr="001162FE">
        <w:tc>
          <w:tcPr>
            <w:tcW w:w="2689" w:type="dxa"/>
          </w:tcPr>
          <w:p w14:paraId="44F82E7C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001C1C6C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7DA6E937" w14:textId="77777777" w:rsidTr="001162FE">
        <w:tc>
          <w:tcPr>
            <w:tcW w:w="2689" w:type="dxa"/>
          </w:tcPr>
          <w:p w14:paraId="7A715C75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69F4F381" w14:textId="77777777"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752E9791" w14:textId="77777777"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1779919C" w14:textId="77777777"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  <w:r w:rsidR="00C72C80">
              <w:t xml:space="preserve"> </w:t>
            </w:r>
          </w:p>
          <w:p w14:paraId="45CC4ABC" w14:textId="60E30FF1" w:rsidR="00C72C80" w:rsidRDefault="00C72C80" w:rsidP="00476AA6">
            <w:r w:rsidRPr="00C72C80">
              <w:t>Nitrofurantoin - Not Suitable In Renal Impairment</w:t>
            </w:r>
            <w:r>
              <w:t xml:space="preserve"> at</w:t>
            </w:r>
          </w:p>
          <w:p w14:paraId="744F7EE4" w14:textId="47A9526F" w:rsidR="00C72C80" w:rsidRDefault="000224DA" w:rsidP="00476AA6">
            <w:hyperlink r:id="rId11" w:history="1">
              <w:r w:rsidR="00C72C80" w:rsidRPr="009A4A9B">
                <w:rPr>
                  <w:rStyle w:val="Hyperlink"/>
                </w:rPr>
                <w:t>http://medsafe.govt.nz/profs/PUArticles/December2015/Nitrofurantoin.htm</w:t>
              </w:r>
            </w:hyperlink>
            <w:r w:rsidR="00C72C80">
              <w:t xml:space="preserve"> </w:t>
            </w:r>
          </w:p>
          <w:p w14:paraId="2DD3D1EF" w14:textId="77777777" w:rsidR="00476AA6" w:rsidRDefault="00476AA6" w:rsidP="00476AA6">
            <w:r>
              <w:t xml:space="preserve">Individual medicine data sheets at </w:t>
            </w:r>
            <w:hyperlink r:id="rId12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7E5FF6B3" w14:textId="77777777" w:rsidR="005216BC" w:rsidRDefault="00476AA6" w:rsidP="0070113B">
            <w:r>
              <w:t>Standing Order Guidelines, Ministry of Health, 2012</w:t>
            </w:r>
          </w:p>
          <w:p w14:paraId="32298382" w14:textId="36FE9AAC" w:rsidR="00615012" w:rsidRDefault="00615012" w:rsidP="0070113B">
            <w:r>
              <w:t>Medicines (Standing Order) Regulations 2012 (Standing Order Regulations)</w:t>
            </w:r>
          </w:p>
        </w:tc>
      </w:tr>
      <w:tr w:rsidR="0070113B" w14:paraId="0555E78F" w14:textId="77777777" w:rsidTr="001162FE">
        <w:tc>
          <w:tcPr>
            <w:tcW w:w="2689" w:type="dxa"/>
          </w:tcPr>
          <w:p w14:paraId="074DDEC4" w14:textId="495BE30A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14:paraId="5167BB60" w14:textId="77777777" w:rsidR="009728A1" w:rsidRDefault="009728A1" w:rsidP="0070113B">
            <w:r w:rsidRPr="003A0FC2">
              <w:rPr>
                <w:u w:val="single"/>
              </w:rPr>
              <w:t>Dysuria</w:t>
            </w:r>
            <w:r>
              <w:t>- painful urination</w:t>
            </w:r>
          </w:p>
          <w:p w14:paraId="29D40347" w14:textId="2B19AC55" w:rsidR="00F84AED" w:rsidRPr="009728A1" w:rsidRDefault="00F84AED" w:rsidP="0070113B">
            <w:r w:rsidRPr="00F84AED">
              <w:rPr>
                <w:u w:val="single"/>
              </w:rPr>
              <w:t>Porphyria</w:t>
            </w:r>
            <w:r>
              <w:t xml:space="preserve">- </w:t>
            </w:r>
            <w:r w:rsidRPr="00F84AED">
              <w:t xml:space="preserve">a rare hereditary disease in which there is abnormal metabolism of the blood pigment haemoglobin. </w:t>
            </w:r>
            <w:proofErr w:type="spellStart"/>
            <w:r w:rsidRPr="00F84AED">
              <w:t>Porphyrins</w:t>
            </w:r>
            <w:proofErr w:type="spellEnd"/>
            <w:r w:rsidRPr="00F84AED">
              <w:t xml:space="preserve"> are excreted in the urine, which becomes dark; other symptoms include mental disturbances and extreme sensitivity of the skin to light.</w:t>
            </w:r>
          </w:p>
          <w:p w14:paraId="138C383B" w14:textId="77777777" w:rsidR="0070113B" w:rsidRDefault="007658A5" w:rsidP="0070113B">
            <w:r>
              <w:rPr>
                <w:u w:val="single"/>
              </w:rPr>
              <w:t xml:space="preserve">Pregnancy </w:t>
            </w:r>
            <w:r w:rsidRPr="007658A5">
              <w:rPr>
                <w:u w:val="single"/>
              </w:rPr>
              <w:t>Category B3</w:t>
            </w:r>
            <w:r>
              <w:t xml:space="preserve">- </w:t>
            </w:r>
            <w:r w:rsidRPr="007658A5">
              <w:t xml:space="preserve">Drugs which have been taken by only a limited number of pregnant women and women of childbearing age, without an increase in the frequency of malformation or other direct or indirect harmful effects on the human </w:t>
            </w:r>
            <w:r w:rsidR="009728A1" w:rsidRPr="007658A5">
              <w:t>foetus</w:t>
            </w:r>
            <w:r w:rsidRPr="007658A5">
              <w:t xml:space="preserve"> having been observed. Studies in animals have shown evidence of an increased occurrence of </w:t>
            </w:r>
            <w:r w:rsidR="009728A1" w:rsidRPr="007658A5">
              <w:t>foetal</w:t>
            </w:r>
            <w:r w:rsidRPr="007658A5">
              <w:t xml:space="preserve"> damage, the significance of which is considered uncertain in humans.</w:t>
            </w:r>
          </w:p>
        </w:tc>
      </w:tr>
    </w:tbl>
    <w:p w14:paraId="4BA10E4C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4CAA16A7" w14:textId="77777777" w:rsidTr="007658A5">
        <w:tc>
          <w:tcPr>
            <w:tcW w:w="2689" w:type="dxa"/>
          </w:tcPr>
          <w:p w14:paraId="48A71EB9" w14:textId="77777777" w:rsidR="008C2A3F" w:rsidRPr="0064385C" w:rsidRDefault="008C2A3F" w:rsidP="007658A5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4E5276F3" w14:textId="77777777" w:rsidR="008C2A3F" w:rsidRDefault="008C2A3F" w:rsidP="007658A5"/>
        </w:tc>
      </w:tr>
    </w:tbl>
    <w:p w14:paraId="3433DE5C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4E45672A" w14:textId="77777777" w:rsidTr="00877CF2">
        <w:tc>
          <w:tcPr>
            <w:tcW w:w="2122" w:type="dxa"/>
          </w:tcPr>
          <w:p w14:paraId="44E63328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79383BC" w14:textId="77777777" w:rsidR="001162FE" w:rsidRDefault="001162FE"/>
    <w:p w14:paraId="51319618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7657E58A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20BC324D" w14:textId="77777777" w:rsidTr="0064385C">
        <w:trPr>
          <w:trHeight w:val="123"/>
        </w:trPr>
        <w:tc>
          <w:tcPr>
            <w:tcW w:w="4531" w:type="dxa"/>
          </w:tcPr>
          <w:p w14:paraId="250DE2A2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6EE27874" w14:textId="77777777" w:rsidR="001162FE" w:rsidRDefault="001162FE"/>
    <w:p w14:paraId="0133FB19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4234926C" w14:textId="77777777" w:rsidR="001162FE" w:rsidRDefault="001162FE">
      <w:r>
        <w:t>We the undersigned agree that we have read, understood and will comply with this standing order and all associated documents.</w:t>
      </w:r>
    </w:p>
    <w:p w14:paraId="7D8F76B3" w14:textId="77777777"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03C99EA7" w14:textId="77777777" w:rsidR="001162FE" w:rsidRDefault="001162FE" w:rsidP="001162FE">
      <w:r>
        <w:lastRenderedPageBreak/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68D81640" w14:textId="77777777" w:rsidR="001162FE" w:rsidRDefault="001162FE" w:rsidP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p w14:paraId="0F8D815C" w14:textId="5D74F740" w:rsidR="001162FE" w:rsidRDefault="001162FE">
      <w:r>
        <w:t>Name: ______________________   Signature: _________________________</w:t>
      </w:r>
      <w:proofErr w:type="gramStart"/>
      <w:r>
        <w:t>_  Date</w:t>
      </w:r>
      <w:proofErr w:type="gramEnd"/>
      <w:r>
        <w:t>: ______________</w:t>
      </w:r>
    </w:p>
    <w:sectPr w:rsidR="001162FE" w:rsidSect="00D270A8">
      <w:footerReference w:type="default" r:id="rId1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7F59" w14:textId="77777777" w:rsidR="006A676B" w:rsidRDefault="006A676B" w:rsidP="00615012">
      <w:pPr>
        <w:spacing w:after="0" w:line="240" w:lineRule="auto"/>
      </w:pPr>
      <w:r>
        <w:separator/>
      </w:r>
    </w:p>
  </w:endnote>
  <w:endnote w:type="continuationSeparator" w:id="0">
    <w:p w14:paraId="1CBD3475" w14:textId="77777777" w:rsidR="006A676B" w:rsidRDefault="006A676B" w:rsidP="006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5DB66" w14:textId="6A776B51" w:rsidR="006A676B" w:rsidRDefault="006A676B">
    <w:pPr>
      <w:pStyle w:val="Footer"/>
    </w:pPr>
    <w:r>
      <w:t>UTI in Women (uncomplicated) Standing Order</w:t>
    </w:r>
    <w:r>
      <w:tab/>
    </w:r>
    <w:r>
      <w:tab/>
      <w:t>October 2015</w:t>
    </w:r>
    <w:r>
      <w:tab/>
      <w:t>WellSouth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13CEA" w14:textId="77777777" w:rsidR="006A676B" w:rsidRDefault="006A676B" w:rsidP="00615012">
      <w:pPr>
        <w:spacing w:after="0" w:line="240" w:lineRule="auto"/>
      </w:pPr>
      <w:r>
        <w:separator/>
      </w:r>
    </w:p>
  </w:footnote>
  <w:footnote w:type="continuationSeparator" w:id="0">
    <w:p w14:paraId="7E057160" w14:textId="77777777" w:rsidR="006A676B" w:rsidRDefault="006A676B" w:rsidP="00615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D26"/>
    <w:multiLevelType w:val="hybridMultilevel"/>
    <w:tmpl w:val="9844F4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7BEE"/>
    <w:multiLevelType w:val="hybridMultilevel"/>
    <w:tmpl w:val="647673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7BAE"/>
    <w:multiLevelType w:val="hybridMultilevel"/>
    <w:tmpl w:val="14185C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C0A03"/>
    <w:multiLevelType w:val="hybridMultilevel"/>
    <w:tmpl w:val="8DF67E26"/>
    <w:lvl w:ilvl="0" w:tplc="875AF6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11175"/>
    <w:multiLevelType w:val="hybridMultilevel"/>
    <w:tmpl w:val="C3D66E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73A68"/>
    <w:multiLevelType w:val="hybridMultilevel"/>
    <w:tmpl w:val="68BA1E56"/>
    <w:lvl w:ilvl="0" w:tplc="875AF6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33F69"/>
    <w:multiLevelType w:val="hybridMultilevel"/>
    <w:tmpl w:val="9DB00692"/>
    <w:lvl w:ilvl="0" w:tplc="875AF68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224DA"/>
    <w:rsid w:val="000258CE"/>
    <w:rsid w:val="000D476D"/>
    <w:rsid w:val="000E47A6"/>
    <w:rsid w:val="001162FE"/>
    <w:rsid w:val="00123A68"/>
    <w:rsid w:val="00131975"/>
    <w:rsid w:val="00251BDB"/>
    <w:rsid w:val="0026192F"/>
    <w:rsid w:val="002A4F5D"/>
    <w:rsid w:val="00363E54"/>
    <w:rsid w:val="00371F01"/>
    <w:rsid w:val="003946AE"/>
    <w:rsid w:val="003B3E91"/>
    <w:rsid w:val="003B7900"/>
    <w:rsid w:val="00476AA6"/>
    <w:rsid w:val="00484B9F"/>
    <w:rsid w:val="005216BC"/>
    <w:rsid w:val="005B7721"/>
    <w:rsid w:val="00615012"/>
    <w:rsid w:val="0064385C"/>
    <w:rsid w:val="006A676B"/>
    <w:rsid w:val="0070113B"/>
    <w:rsid w:val="00737C3F"/>
    <w:rsid w:val="007658A5"/>
    <w:rsid w:val="0076794E"/>
    <w:rsid w:val="00782909"/>
    <w:rsid w:val="007F6FDB"/>
    <w:rsid w:val="00805F19"/>
    <w:rsid w:val="00853012"/>
    <w:rsid w:val="00853FB9"/>
    <w:rsid w:val="00877CF2"/>
    <w:rsid w:val="008C2A3F"/>
    <w:rsid w:val="00925330"/>
    <w:rsid w:val="009728A1"/>
    <w:rsid w:val="009A5CD2"/>
    <w:rsid w:val="009D40B7"/>
    <w:rsid w:val="009F4F03"/>
    <w:rsid w:val="00C72C80"/>
    <w:rsid w:val="00D270A8"/>
    <w:rsid w:val="00DC0404"/>
    <w:rsid w:val="00F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37C8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F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7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9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12"/>
  </w:style>
  <w:style w:type="paragraph" w:styleId="Footer">
    <w:name w:val="footer"/>
    <w:basedOn w:val="Normal"/>
    <w:link w:val="FooterChar"/>
    <w:uiPriority w:val="99"/>
    <w:unhideWhenUsed/>
    <w:rsid w:val="00615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12"/>
  </w:style>
  <w:style w:type="paragraph" w:styleId="Revision">
    <w:name w:val="Revision"/>
    <w:hidden/>
    <w:uiPriority w:val="99"/>
    <w:semiHidden/>
    <w:rsid w:val="003B7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edsaf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safe.govt.nz/profs/PUArticles/December2015/Nitrofurantoin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2D8AB5D7</Template>
  <TotalTime>173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29</cp:revision>
  <dcterms:created xsi:type="dcterms:W3CDTF">2015-08-19T07:38:00Z</dcterms:created>
  <dcterms:modified xsi:type="dcterms:W3CDTF">2015-12-15T20:11:00Z</dcterms:modified>
</cp:coreProperties>
</file>